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宜春市广播电视台2019年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法治频道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运转经费项目财政重点绩效评价报告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Toc12512"/>
      <w:r>
        <w:rPr>
          <w:rFonts w:hint="eastAsia" w:ascii="黑体" w:hAnsi="黑体" w:eastAsia="黑体" w:cs="黑体"/>
          <w:sz w:val="32"/>
          <w:szCs w:val="32"/>
        </w:rPr>
        <w:t>一、概述</w:t>
      </w:r>
      <w:bookmarkEnd w:id="0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" w:name="_Toc26188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（一）项目背景</w:t>
      </w:r>
      <w:bookmarkEnd w:id="1"/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党的十八届四中全会《关于全面推进依法治国若干重大问题的决定》中提出，要“弘扬社会主义法治精神，建设社会主义法治文化”。习近平总书记强调，“全面推进依法治国需要全社会共同参与，需要全社会法治观念增强，必须在全社会弘扬社会主义法治精神，建设社会主义法治文化”。《中共中央办公厅、国务院办公厅印发〈关于进一步把社会主义核心价值观融入法治建设的指导意见〉的通知》（厅字〔2016〕50号）要求，“建设社会主义法治文化，推动全社会树立法治意识、增强法治观念，形成守法光荣、违法可耻的社会氛围，使全体人民都成为社会主义法治的忠实崇尚者、社会主义核心价值观的自觉践行者”。《省委办公厅、省政府办公厅印发〈关于进一步加强全省社会主义法治文化建设的意见〉的通知》（赣办字〔2017〕23号）提出，要“充分发挥法治文化在培育法治信仰、树立法治理念、弘扬法治精神中的教化引领作用，推动形成办事依法、遇事找法、解决问题用法、化解矛盾靠法的良好社会风尚，为建设富裕美丽幸福江西营造浓厚的法治环境”。宜春市广播电视台为深入贯彻中央、省、市文件精神，全方位、多角度、立体式宣传报道我市依法治市的先进经验、典型事例，传播法律知识，为推进平安、法治宜春建设作出贡献，市广播电视台决定开办电视法治频道。为解决电视法治频道开办经费问题，市广播电视台于2017年6月27日向宜春市人民政府呈报了《关于解决宜春市广播电视台开办电视法治频道所需经费的请求》（宜广视字〔2017〕34号），请求市财政第一年解决经费350万元，以后按每年300万元列入财政预算，以确保法治频道正常运转。 2017年8月28日宜春市人民政府常务会议纪要（12）指出：“在市广播电视台开办电视法治频道有利于推动全市法治建设，提升全民法治观念和素养，营造良好的法治氛围，进一步推进法治宜春、平安宜春建设。”“会议确定，原则同意市广播电视台开办电视法治频道，由市财政今年安排350万元启动经费，从2018年起每年按300万元列入财政预算。” 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2" w:name="_Toc10159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（二）预算执行情况</w:t>
      </w:r>
      <w:bookmarkEnd w:id="2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141"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4176"/>
      <w:r>
        <w:rPr>
          <w:rFonts w:hint="eastAsia" w:ascii="仿宋_GB2312" w:hAnsi="仿宋_GB2312" w:eastAsia="仿宋_GB2312" w:cs="仿宋_GB2312"/>
          <w:sz w:val="32"/>
          <w:szCs w:val="32"/>
        </w:rPr>
        <w:t>1.预算资金到位情况</w:t>
      </w:r>
      <w:bookmarkEnd w:id="3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经查阅有关资金到位记账凭证记录，项目计划投入资金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万元，实际到位资金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万元，资金到位率100%。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_Toc15679"/>
      <w:r>
        <w:rPr>
          <w:rFonts w:hint="eastAsia" w:ascii="仿宋_GB2312" w:hAnsi="仿宋_GB2312" w:eastAsia="仿宋_GB2312" w:cs="仿宋_GB2312"/>
          <w:sz w:val="32"/>
          <w:szCs w:val="32"/>
        </w:rPr>
        <w:t>2.预算支出完成情况</w:t>
      </w:r>
      <w:bookmarkEnd w:id="4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万元，经核查，项目实际支出3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19.91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万元，占项目预算支出的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106.63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5" w:name="_Toc22313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（三）当年项目产出及效果</w:t>
      </w:r>
      <w:bookmarkEnd w:id="5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26556"/>
      <w:r>
        <w:rPr>
          <w:rFonts w:hint="eastAsia" w:ascii="仿宋_GB2312" w:hAnsi="仿宋_GB2312" w:eastAsia="仿宋_GB2312" w:cs="仿宋_GB2312"/>
          <w:sz w:val="32"/>
          <w:szCs w:val="32"/>
        </w:rPr>
        <w:t>1.项目产出</w:t>
      </w:r>
      <w:bookmarkEnd w:id="6"/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ind w:firstLine="56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年度法治频道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运转经费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项目产出良好，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自办栏目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5个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引进栏目5个，</w:t>
      </w:r>
      <w:r>
        <w:rPr>
          <w:rFonts w:hint="eastAsia" w:ascii="仿宋_GB2312" w:hAnsi="仿宋_GB2312" w:eastAsia="仿宋_GB2312" w:cs="仿宋_GB2312"/>
          <w:sz w:val="32"/>
          <w:szCs w:val="32"/>
        </w:rPr>
        <w:t>播放道德与法治类公益广告1800分钟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开展政法系统大型活动6场，创建并</w:t>
      </w:r>
      <w:r>
        <w:rPr>
          <w:rFonts w:hint="eastAsia" w:ascii="仿宋_GB2312" w:hAnsi="仿宋_GB2312" w:eastAsia="仿宋_GB2312" w:cs="仿宋_GB2312"/>
          <w:sz w:val="32"/>
          <w:szCs w:val="32"/>
        </w:rPr>
        <w:t>运营“平安宜春”抖音号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各项工作在预定时间内完成，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</w:rPr>
        <w:t>质量基本达到预期，但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产出成本超预算的6.63%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outlineLvl w:val="2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_Toc6595"/>
      <w:r>
        <w:rPr>
          <w:rFonts w:hint="eastAsia" w:ascii="仿宋_GB2312" w:hAnsi="仿宋_GB2312" w:eastAsia="仿宋_GB2312" w:cs="仿宋_GB2312"/>
          <w:sz w:val="32"/>
          <w:szCs w:val="32"/>
        </w:rPr>
        <w:t>2.项目效果</w:t>
      </w:r>
      <w:bookmarkEnd w:id="7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法治电视频道通过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跟踪重大法治活动，报道中央扫黑除恶督导组下沉宜春等，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舆论宣传效果显著；录播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《政协议政》系列节目，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报道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10个市直部门工作中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存在的问题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，引起社会巨大反响，问题单位在最短时间内进行整改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舆论监督效果明显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聚焦社会热点，策划报道民生，深受观众喜爱，</w:t>
      </w:r>
      <w:r>
        <w:rPr>
          <w:rFonts w:hint="eastAsia" w:ascii="仿宋_GB2312" w:hAnsi="仿宋_GB2312" w:eastAsia="仿宋_GB2312" w:cs="仿宋_GB2312"/>
          <w:sz w:val="32"/>
          <w:szCs w:val="32"/>
        </w:rPr>
        <w:t>获观众赠送锦旗9面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8" w:name="_Toc7261"/>
      <w:r>
        <w:rPr>
          <w:rFonts w:hint="eastAsia" w:ascii="黑体" w:hAnsi="黑体" w:eastAsia="黑体" w:cs="黑体"/>
          <w:sz w:val="32"/>
          <w:szCs w:val="32"/>
        </w:rPr>
        <w:t>二、评价结论：</w:t>
      </w:r>
      <w:bookmarkEnd w:id="8"/>
    </w:p>
    <w:p>
      <w:pPr>
        <w:pageBreakBefore w:val="0"/>
        <w:widowControl/>
        <w:tabs>
          <w:tab w:val="left" w:pos="423"/>
        </w:tabs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评价小组在参考了宜春市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广播电视台</w:t>
      </w:r>
      <w:r>
        <w:rPr>
          <w:rFonts w:hint="eastAsia" w:ascii="仿宋_GB2312" w:hAnsi="仿宋_GB2312" w:eastAsia="仿宋_GB2312" w:cs="仿宋_GB2312"/>
          <w:sz w:val="32"/>
          <w:szCs w:val="32"/>
        </w:rPr>
        <w:t>自评结果的基础上，通过进一步收集项目运行有关数据和资料，并开展实地核查、重点抽查和问卷调查等方式，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对该项目绩效进行客观、公正合理的评价，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最终评价结果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总分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为91.18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分，评价等级为“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”。 宜春市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电视台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自评价得分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97.2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分，绩效评价等级为“优”。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left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9" w:name="_Toc16048"/>
      <w:r>
        <w:rPr>
          <w:rFonts w:hint="eastAsia" w:ascii="黑体" w:hAnsi="黑体" w:eastAsia="黑体" w:cs="黑体"/>
          <w:sz w:val="32"/>
          <w:szCs w:val="32"/>
        </w:rPr>
        <w:t>三、经验、问题和建议：</w:t>
      </w:r>
      <w:bookmarkEnd w:id="9"/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0" w:name="_Toc15554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（一）经验</w:t>
      </w:r>
      <w:bookmarkEnd w:id="10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bidi w:val="0"/>
        <w:snapToGrid/>
        <w:spacing w:before="100" w:beforeAutospacing="0" w:after="100" w:afterAutospacing="0" w:line="560" w:lineRule="exact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顺应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需要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突出宣传主题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组建电视法治频道，是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全面依法治国重大战略举措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可以更好地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服务宜春法治建设，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报道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我市推进法治宜春建设力度，展示我市法治建设成效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964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2.加强组织领导，备齐工作人员。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法治频道共有采编播人员38人，实行分管副台长负责制，并由台党委按干部任用考核条例考核任用，设频道总监一人，副总监2人，员工由在编人员和聘用人员组成，实行绩效考核机制。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210" w:leftChars="10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3.严把质量关卡，落实管理制度。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为确保法治频道自办栏目每期节目质量，对所有栏目稿件实行“三审”制度。成立由主编和副主编等9人组成的法治频道审片小组，审片小组成员根据稿件质量集体讨论进行评分，并一一签字。</w:t>
      </w:r>
    </w:p>
    <w:p>
      <w:pPr>
        <w:pStyle w:val="1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napToGrid/>
        <w:spacing w:before="210" w:beforeAutospacing="0" w:after="0" w:afterAutospacing="0" w:line="560" w:lineRule="exact"/>
        <w:ind w:left="210" w:leftChars="100" w:right="0"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聚焦社会热点，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策划民生报道。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_Toc10526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（二）存在的问题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本次绩效评价过程中，发现如下问题：</w:t>
      </w:r>
      <w:bookmarkEnd w:id="11"/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.项目预算编制科学论证不足，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项目资金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分配不合理。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如工资福利支出超预算6.6%，专用材料费超预算33.73%；也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预算指标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如水电费实际支出仅为预算的60.12%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.项目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成本控制不力，资金支出超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算。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2019年项目支出319.91万元，超项目预算的6.6%；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物价和人力成本等因素的影响，项目成本将逐年增加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项目成本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压力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还将增大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.管理方法不够科学，项目监管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不够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细化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节目质量还有进一步提升的空间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4.宜春电视法治频道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在乡镇建立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法治通讯员队伍，播出的节目也只有极少部分将视角和选题放到了乡镇及村组。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left"/>
        <w:outlineLvl w:val="1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bookmarkStart w:id="12" w:name="_Toc12096"/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（三）相关建议</w:t>
      </w:r>
      <w:bookmarkEnd w:id="12"/>
    </w:p>
    <w:p>
      <w:pPr>
        <w:pageBreakBefore w:val="0"/>
        <w:kinsoku/>
        <w:wordWrap/>
        <w:overflowPunct/>
        <w:topLinePunct w:val="0"/>
        <w:autoSpaceDE w:val="0"/>
        <w:bidi w:val="0"/>
        <w:snapToGrid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1.加强项目资金预算编制管理，细化、量化绩效指标。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为了保证项目预算数据真实、准确、完整，要精心组织、科学论证，同时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结合以往预算执行结果综合考虑，编制符合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实际需要的资金预算。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2.加强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成本控制。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由于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物价和人力成本等因素的影响，项目成本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增加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趋势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压力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不断增大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为此，必须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精打细算压缩开支，同时加强资金使用管理，提高项目资金使用效益，力争把成本控制在预算金额之内。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3.更新管理方法，落实管理制度。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人员管理，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>化内部考核机制，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落实岗位责任制，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着力打造一支素质过硬、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责任心</w:t>
      </w:r>
      <w:r>
        <w:rPr>
          <w:rFonts w:hint="eastAsia" w:ascii="仿宋_GB2312" w:hAnsi="仿宋_GB2312" w:eastAsia="仿宋_GB2312" w:cs="仿宋_GB2312"/>
          <w:sz w:val="32"/>
          <w:szCs w:val="32"/>
        </w:rPr>
        <w:t>强的编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采播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切实把“三审”制度、审片小组审片制度、定岗定编定责定薪方案、考核管理办法等落到实处。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宜春市广播电视台在条件成熟的情况下建立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乡镇法治通讯员队伍。</w:t>
      </w:r>
    </w:p>
    <w:p>
      <w:pPr>
        <w:pStyle w:val="13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0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.建议宜春市广播电视台成立专门的外宣队伍，对接中央台、省台相关频道和栏目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rPr>
          <w:rFonts w:hint="eastAsia" w:ascii="方正小标宋简体" w:hAnsi="Times New Roman" w:eastAsia="方正小标宋简体"/>
          <w:color w:val="000000"/>
          <w:kern w:val="0"/>
          <w:sz w:val="32"/>
          <w:szCs w:val="32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6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p>
      <w:pPr>
        <w:pStyle w:val="13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_GoBack"/>
      <w:bookmarkEnd w:id="13"/>
    </w:p>
    <w:sectPr>
      <w:footerReference r:id="rId3" w:type="default"/>
      <w:pgSz w:w="11906" w:h="16838"/>
      <w:pgMar w:top="1440" w:right="1519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B2ExcoBAACc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5xEyhx3OLAL9+/XX78uvz8SpbV&#10;6k1WqA9QY+JDwNQ03PkhZ09+QGcmPqho8xcpEYyjvuervnJIRORH69V6XWFIYGy+IA57fB4ipLfS&#10;W5KNhkYcYNGVn95DGlPnlFzN+XttDPp5bdxfDsTMHpZ7H3vMVhr2w9T43rdn5NPj7BvqcNUpMe8c&#10;SpvXZDbibOxn4xiiPnRlj3I9CLfHhE2U3nKFEXYqjEMr7KYFy1vx571kPf5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SB2Exc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B2"/>
    <w:rsid w:val="00034895"/>
    <w:rsid w:val="00036073"/>
    <w:rsid w:val="0005619F"/>
    <w:rsid w:val="00230ADB"/>
    <w:rsid w:val="002B0E8E"/>
    <w:rsid w:val="003244CF"/>
    <w:rsid w:val="00344DC3"/>
    <w:rsid w:val="00386E12"/>
    <w:rsid w:val="004D6838"/>
    <w:rsid w:val="004E0682"/>
    <w:rsid w:val="004F088A"/>
    <w:rsid w:val="004F17C5"/>
    <w:rsid w:val="00512D7A"/>
    <w:rsid w:val="006532DD"/>
    <w:rsid w:val="006A7D27"/>
    <w:rsid w:val="00706997"/>
    <w:rsid w:val="00731C77"/>
    <w:rsid w:val="00816656"/>
    <w:rsid w:val="00903038"/>
    <w:rsid w:val="00B508B0"/>
    <w:rsid w:val="00BC3F84"/>
    <w:rsid w:val="00C175FF"/>
    <w:rsid w:val="00C3723F"/>
    <w:rsid w:val="00C45C6A"/>
    <w:rsid w:val="00C72DE4"/>
    <w:rsid w:val="00DF2A4E"/>
    <w:rsid w:val="00E01DA6"/>
    <w:rsid w:val="00E11EF8"/>
    <w:rsid w:val="00E8108F"/>
    <w:rsid w:val="00F16335"/>
    <w:rsid w:val="00F35027"/>
    <w:rsid w:val="00F355B7"/>
    <w:rsid w:val="00F850B2"/>
    <w:rsid w:val="01081428"/>
    <w:rsid w:val="041A38B8"/>
    <w:rsid w:val="0490675B"/>
    <w:rsid w:val="06040F4E"/>
    <w:rsid w:val="09114925"/>
    <w:rsid w:val="0B0935DE"/>
    <w:rsid w:val="0CDC757A"/>
    <w:rsid w:val="0E6760E9"/>
    <w:rsid w:val="0F633C8E"/>
    <w:rsid w:val="0F806A39"/>
    <w:rsid w:val="10FE1707"/>
    <w:rsid w:val="112403DC"/>
    <w:rsid w:val="11573FB5"/>
    <w:rsid w:val="123D08A1"/>
    <w:rsid w:val="125B67AF"/>
    <w:rsid w:val="12617244"/>
    <w:rsid w:val="16A0686F"/>
    <w:rsid w:val="17DC3E92"/>
    <w:rsid w:val="187379C2"/>
    <w:rsid w:val="18A53468"/>
    <w:rsid w:val="18D24211"/>
    <w:rsid w:val="1917335B"/>
    <w:rsid w:val="1A5E1E2E"/>
    <w:rsid w:val="1B0A0233"/>
    <w:rsid w:val="1B19347D"/>
    <w:rsid w:val="1CEB6B3A"/>
    <w:rsid w:val="1D802CA3"/>
    <w:rsid w:val="1E237801"/>
    <w:rsid w:val="1EAE7F8D"/>
    <w:rsid w:val="21A40E05"/>
    <w:rsid w:val="2262437B"/>
    <w:rsid w:val="22953BE1"/>
    <w:rsid w:val="241A24B1"/>
    <w:rsid w:val="25E90CFF"/>
    <w:rsid w:val="28493678"/>
    <w:rsid w:val="2B30607F"/>
    <w:rsid w:val="2D7579D0"/>
    <w:rsid w:val="2E0C5569"/>
    <w:rsid w:val="31C40E10"/>
    <w:rsid w:val="324D7642"/>
    <w:rsid w:val="347240BE"/>
    <w:rsid w:val="34E34D8C"/>
    <w:rsid w:val="34FA4ADF"/>
    <w:rsid w:val="35F77B03"/>
    <w:rsid w:val="36D137CA"/>
    <w:rsid w:val="372800CE"/>
    <w:rsid w:val="372F5753"/>
    <w:rsid w:val="38656BC9"/>
    <w:rsid w:val="3A877B39"/>
    <w:rsid w:val="3AFC0A23"/>
    <w:rsid w:val="3BE51345"/>
    <w:rsid w:val="3CEC4746"/>
    <w:rsid w:val="3CF34C12"/>
    <w:rsid w:val="3DE90F94"/>
    <w:rsid w:val="41766AE9"/>
    <w:rsid w:val="4382129E"/>
    <w:rsid w:val="43B25523"/>
    <w:rsid w:val="48B07384"/>
    <w:rsid w:val="4A7D4457"/>
    <w:rsid w:val="4B99755C"/>
    <w:rsid w:val="4C93008F"/>
    <w:rsid w:val="4D974F0B"/>
    <w:rsid w:val="4DC26821"/>
    <w:rsid w:val="4E6133C8"/>
    <w:rsid w:val="50B4785C"/>
    <w:rsid w:val="54C91DCF"/>
    <w:rsid w:val="576E434E"/>
    <w:rsid w:val="5868727F"/>
    <w:rsid w:val="599B101F"/>
    <w:rsid w:val="5AD859C1"/>
    <w:rsid w:val="5D27097C"/>
    <w:rsid w:val="5D7B791F"/>
    <w:rsid w:val="5D89533E"/>
    <w:rsid w:val="5ED6321F"/>
    <w:rsid w:val="5FF1180A"/>
    <w:rsid w:val="609562F5"/>
    <w:rsid w:val="6178286C"/>
    <w:rsid w:val="623274FC"/>
    <w:rsid w:val="62676009"/>
    <w:rsid w:val="63307A3F"/>
    <w:rsid w:val="645C437C"/>
    <w:rsid w:val="659A0532"/>
    <w:rsid w:val="66D45BF6"/>
    <w:rsid w:val="66E2137C"/>
    <w:rsid w:val="69206DB6"/>
    <w:rsid w:val="699D5FBC"/>
    <w:rsid w:val="699F4D0D"/>
    <w:rsid w:val="6D591AA1"/>
    <w:rsid w:val="6F5166F1"/>
    <w:rsid w:val="73D17D86"/>
    <w:rsid w:val="753D7A4A"/>
    <w:rsid w:val="7798038C"/>
    <w:rsid w:val="791B1994"/>
    <w:rsid w:val="792925EC"/>
    <w:rsid w:val="79587EB7"/>
    <w:rsid w:val="7AEA5484"/>
    <w:rsid w:val="7AF45B37"/>
    <w:rsid w:val="7CF4247E"/>
    <w:rsid w:val="7E284490"/>
    <w:rsid w:val="7ED270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150" w:firstLineChars="150"/>
      <w:outlineLvl w:val="1"/>
    </w:pPr>
    <w:rPr>
      <w:rFonts w:ascii="Arial" w:hAnsi="Arial" w:eastAsia="仿宋"/>
      <w:b/>
      <w:sz w:val="2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行距: 固定值 28.9 磅"/>
    <w:basedOn w:val="1"/>
    <w:qFormat/>
    <w:uiPriority w:val="0"/>
    <w:pPr>
      <w:spacing w:line="578" w:lineRule="exact"/>
    </w:pPr>
    <w:rPr>
      <w:rFonts w:cs="宋体"/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 Indent"/>
    <w:basedOn w:val="1"/>
    <w:qFormat/>
    <w:uiPriority w:val="99"/>
    <w:pPr>
      <w:ind w:left="420" w:leftChars="200"/>
    </w:pPr>
  </w:style>
  <w:style w:type="paragraph" w:styleId="7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8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1"/>
    <w:next w:val="1"/>
    <w:semiHidden/>
    <w:unhideWhenUsed/>
    <w:qFormat/>
    <w:uiPriority w:val="39"/>
  </w:style>
  <w:style w:type="paragraph" w:styleId="11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6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页眉 Char"/>
    <w:basedOn w:val="15"/>
    <w:link w:val="9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font11"/>
    <w:basedOn w:val="1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  <w:vertAlign w:val="superscript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paragraph" w:customStyle="1" w:styleId="2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964</Words>
  <Characters>5500</Characters>
  <Lines>45</Lines>
  <Paragraphs>12</Paragraphs>
  <TotalTime>5</TotalTime>
  <ScaleCrop>false</ScaleCrop>
  <LinksUpToDate>false</LinksUpToDate>
  <CharactersWithSpaces>6452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2020-07-28T09:10:00Z</dcterms:created>
  <dc:creator>xbany</dc:creator>
  <cp:lastModifiedBy>shadow</cp:lastModifiedBy>
  <cp:lastPrinted>2020-07-31T01:17:00Z</cp:lastPrinted>
  <dcterms:modified xsi:type="dcterms:W3CDTF">2020-12-24T02:55:44Z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