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0D" w:rsidRDefault="0074680D">
      <w:pPr>
        <w:pStyle w:val="1"/>
      </w:pPr>
    </w:p>
    <w:p w:rsidR="0074680D" w:rsidRDefault="0074680D">
      <w:pPr>
        <w:ind w:firstLine="560"/>
        <w:rPr>
          <w:rFonts w:ascii="宋体" w:hAnsi="宋体" w:cs="宋体"/>
          <w:szCs w:val="28"/>
        </w:rPr>
      </w:pPr>
    </w:p>
    <w:p w:rsidR="0074680D" w:rsidRDefault="005420B0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宜春市文化广电新闻出版旅游局</w:t>
      </w:r>
    </w:p>
    <w:p w:rsidR="0074680D" w:rsidRDefault="005420B0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宜春市全域旅游信息化阿里巴巴示范应用推广工程暨</w:t>
      </w:r>
      <w:r>
        <w:rPr>
          <w:rFonts w:ascii="仿宋_GB2312" w:eastAsia="仿宋_GB2312" w:hint="eastAsia"/>
          <w:b/>
          <w:bCs/>
          <w:sz w:val="44"/>
          <w:szCs w:val="44"/>
        </w:rPr>
        <w:t>2019</w:t>
      </w:r>
      <w:r>
        <w:rPr>
          <w:rFonts w:ascii="仿宋_GB2312" w:eastAsia="仿宋_GB2312" w:hint="eastAsia"/>
          <w:b/>
          <w:bCs/>
          <w:sz w:val="44"/>
          <w:szCs w:val="44"/>
        </w:rPr>
        <w:t>年全省旅发大会智慧旅游项目财政重点绩效评价报告</w:t>
      </w:r>
    </w:p>
    <w:p w:rsidR="0074680D" w:rsidRDefault="005420B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一、概述</w:t>
      </w:r>
    </w:p>
    <w:p w:rsidR="0074680D" w:rsidRDefault="005420B0">
      <w:pPr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（一）项目实施背景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江西省旅游业发展“十三五”规划》要求，江西“十三五”旅游需全力构建“一四九”空间格局，将宜春建设成健康养生休闲城市，依托“山”、“泉”、“禅”、“农”四大旅游资源，围绕“温泉之乡、禅宗圣地、月亮之都”旅游总体形象，推动旅游业与禅宗文化、温泉度假、城市商贸全方位融合发展。需借助物联网、定位导航通信、云计算、大数据、职能硬件等新一代信息技术产品，实现旅游以及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康养资源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的优化配置，构筑宜春大旅游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大健康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大生态产业融合，从而推动宜春旅游行业大发展，将宜春打造成为全国著名健康休闲度假目的城市。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，阿里巴巴集团、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蚂蚁金服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与江西省政府签署战略合作协议，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助力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江西省数字经济实现更高质量发展。根据协议约定，双方将在智慧旅游、城市管理、环境保护等十大领域深度合作。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日，江西省旅发委根据省政府与阿里战略协议，结合多方意见建议，将宜春市定位为与阿里方首批智慧旅游合作试点单位，进行深度合作。</w:t>
      </w:r>
    </w:p>
    <w:p w:rsidR="0074680D" w:rsidRDefault="005420B0">
      <w:pPr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lastRenderedPageBreak/>
        <w:t>（二）项目预算执行情况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宜春市全域旅游信息化阿里巴巴示范应用推广工程暨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年全省旅发大会智慧旅游项目（以下简称“智慧旅游”）财政预算资金安排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万元，实际到位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万元，实际支出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669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74680D" w:rsidRDefault="005420B0">
      <w:pPr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（三）当年项目产出</w:t>
      </w:r>
      <w:r>
        <w:rPr>
          <w:rFonts w:ascii="楷体_GB2312" w:eastAsia="楷体_GB2312" w:hint="eastAsia"/>
          <w:b/>
          <w:bCs/>
          <w:sz w:val="32"/>
          <w:szCs w:val="32"/>
        </w:rPr>
        <w:t>及效果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被评价单位根据年初计划完成了智慧场馆示范应用、景区智慧化提升示范应用、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VR/AR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示范应用、公共服务示范应用、人工智能示范应用完成数量、营销推广示范应用、智慧监管示范应用、阿里生态资源共享服务、景区智慧监管覆盖率的建设；提高了旅游管理服务水平，推进全域旅游发展，助力旅游扶贫，深化厕所革命，全面提升游客满意度，促进旅游业提质增效和转型升级。</w:t>
      </w:r>
    </w:p>
    <w:p w:rsidR="0074680D" w:rsidRDefault="005420B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二、评价结论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宜春市全域旅游信息化阿里巴巴示范应用推广工程暨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年全省旅发大会智慧旅游项目财政重点评价得分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.57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分，评价等级为“中”。</w:t>
      </w:r>
    </w:p>
    <w:p w:rsidR="0074680D" w:rsidRDefault="005420B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三、主要经验、问题</w:t>
      </w:r>
      <w:r>
        <w:rPr>
          <w:rFonts w:ascii="黑体" w:eastAsia="黑体" w:hAnsi="黑体" w:hint="eastAsia"/>
          <w:sz w:val="32"/>
          <w:szCs w:val="32"/>
        </w:rPr>
        <w:t>和建议</w:t>
      </w:r>
    </w:p>
    <w:p w:rsidR="0074680D" w:rsidRDefault="005420B0">
      <w:pPr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（一）主要经验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高起点高标准建设。本着高起点建设的原则，宜春与国内最顶尖的科技公司阿里巴巴进行合作，以国内最新的智慧旅游建设内容为模板，结合宜春调研的实际情况，形成了宜春全域旅游智慧化建设方案。建设方案围绕政府、企业、游客三个层面，按照“一个中心、三个平台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应用”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的总体建设思路，与省文化和旅游厅的指导思路保持一致，避免重复建设。例如基于高德地图的全市旅游厕所、停车场、加油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站定位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导航应用，为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自驾游游客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提供方便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宋城明月千古情景区小程序提供智能找车位和无感支付，实时了解景区内厕所位置及空位情况，为游客提供智慧化个性服务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仿宋_GB2312" w:hint="eastAsia"/>
          <w:sz w:val="32"/>
          <w:szCs w:val="32"/>
        </w:rPr>
        <w:t>智慧行程应用给游客提供个性化行程安排；明月山景区和温汤镇精准定位解说等。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整合文旅数字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资源。充分发挥公共服务资源的集约效应，实现公共投入的效益最大化。通过各种旅游数字资源汇聚整合在云平台上，丰富公共服务内容，实现资源互联互通、线上线下融合互动，为广大游客提供一站式的便捷服务。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）提升管理和服务水平。一部手机游宜春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结合了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智能、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VR/AR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等技术，为广大游客提供游前、游中、游后的“全景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式、全链条、全程化”的智慧旅游服务，与阿里巴巴旗下的“飞猪旅行”实现接口对接，既满足游客的市场服务需求，也解决项目的市场运营问题。景区智慧化监管程序提高了旅游行业的监管能力，为游客的安全出行提供保障，有效提升游客的服务满意度。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）助力旅游产业创新发展。以“线上分销系统”为载体的智慧营销平台，为企业提供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二维码营销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，利用二维码在海报、标签、宣传折页、手机传播等多场景营销，将流量汇集激活，带动旅游从业人员参与线上营销，引导游客转化消费，助推销售量，构建人人参与、人人受益的旅游营销新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格局，进一步加快全市旅游产业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发展。</w:t>
      </w:r>
    </w:p>
    <w:p w:rsidR="0074680D" w:rsidRDefault="005420B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（二）存在的问题及原因分析</w:t>
      </w:r>
    </w:p>
    <w:p w:rsidR="0074680D" w:rsidRDefault="005420B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立项程序规范性不足，项目缺少前期论证程序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在项目实施过程中，仅有阿里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云计算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有限公司制定的论证方案，文广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新旅局未对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该项目阶段性绩效目标进行前期调研和合理性认证，目标制定缺乏科学性，未设定明确的目标和后续的利用计划。</w:t>
      </w:r>
    </w:p>
    <w:p w:rsidR="0074680D" w:rsidRDefault="005420B0">
      <w:pPr>
        <w:spacing w:line="580" w:lineRule="exact"/>
        <w:ind w:firstLineChars="200" w:firstLine="640"/>
        <w:rPr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原因：对智慧旅游这类新型项目，缺乏经验或者缺乏必要的程序安排。</w:t>
      </w:r>
    </w:p>
    <w:p w:rsidR="0074680D" w:rsidRDefault="005420B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预算编制欠科学，绩效目标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设置有待提高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智慧旅游项目包括智慧旅游展馆示范应用、景区智慧化提升示范应用等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大部分建设内容，但每个建设内容所使用资金的占比、实施内容未得到充分研究和讨论，预算编制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科学性略显不足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74680D" w:rsidRDefault="005420B0">
      <w:pPr>
        <w:pStyle w:val="a5"/>
        <w:numPr>
          <w:ilvl w:val="255"/>
          <w:numId w:val="0"/>
        </w:num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部分绩效目标不合理：如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年度绩效目标为：“实现宜春旅游数据资源的全覆盖，实现游客的在线一站式服务功能”与实际完成目标偏离度较大；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绩效指标不明确：如社会效益指标为“满足游客的智慧旅游需求、政府的智慧化管理、企业的智慧化服务”未能分解成具体的绩效指标，指标设置比较粗糙，绩效目标申报方面有待进一步提高和深化。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产生问题的主要原因是：缺乏前期的调研、论证和估算等环节，对项目实施目标没有清晰的定义。</w:t>
      </w:r>
    </w:p>
    <w:p w:rsidR="0074680D" w:rsidRDefault="005420B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项目管理制度待完善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，项目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监管工作待加强。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宜春市文广新局了制定了项目管理办法，采用了单一来源方式采购，采购程序合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，但在项目管理办法中缺失项目前期评估、项目预算、考核、实施和验收标准，项目管理制度有待进一步完善；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经评价小组现场查阅资料，发现专家评审意见中指出如下意见：在大数据规划与应用、平台安全要求、项目整体运营、相关政策配套支撑、知识产权归属、示范应用推广亮点提</w:t>
      </w:r>
      <w:r w:rsidR="006F5AFC" w:rsidRPr="006F5AFC">
        <w:rPr>
          <w:rFonts w:ascii="Times New Roman" w:eastAsia="仿宋_GB2312" w:hAnsi="Times New Roman" w:cs="Times New Roman" w:hint="eastAsia"/>
          <w:sz w:val="32"/>
          <w:szCs w:val="32"/>
        </w:rPr>
        <w:t>炼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等，在后续招标文件结合专家意见进行修改完善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，但在后续招标文件中未结合专家意见进行修改完善；项目实施过程监管工作有待进一步加强。</w:t>
      </w:r>
    </w:p>
    <w:p w:rsidR="0074680D" w:rsidRDefault="005420B0">
      <w:pPr>
        <w:spacing w:line="580" w:lineRule="exact"/>
        <w:ind w:firstLine="64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部分应用质量待完善，品牌推广力度待加大。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评价组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现场评估时发现如下问题：一是宋城明月千古情景区智能停车场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LED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显示屏与实际停车位数据不符，设计方案需按四个闸机设定好的车型去引导车辆进入，但实际门岗人手有限，未做好车辆引导工作，以致数据不符；二是假日智慧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酒店酒店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自助入住服务器出卡口取得房卡不畅，游客退押金不方便，服务器在酒店大堂已暂停使用；三是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TOWO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上品温泉度假酒店未在“一机游”小程序中的酒店目录中，旅游景区内酒店在小程序上未能及时更新；四是由于缺少后期运营团队及运营费用，“一机游”的交易环节只能暂时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由飞猪旅行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完成，部分数据内容待丰富，程序功能不完整，项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目的经济性未能显现。五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通过对在明月千古情景区、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禅博园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景区以及上品温泉度假酒店游客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进行问卷调查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，智慧旅游或“一机游”游客知晓率较弱，部分外地游客来到宜春，未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接到“一机游”的主动推送信息，品牌推广力度较弱。</w:t>
      </w:r>
    </w:p>
    <w:p w:rsidR="0074680D" w:rsidRDefault="005420B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部分场馆设备利用率偏低，持续运营水平未有效保证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评价组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现场评估，智慧旅游展馆仅有几块展版和全息沙盘，智慧城市指挥中心日常未能正常运行，持续运营水平未得到有效保证。</w:t>
      </w:r>
    </w:p>
    <w:p w:rsidR="0074680D" w:rsidRDefault="005420B0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三）</w:t>
      </w:r>
      <w:r>
        <w:rPr>
          <w:rFonts w:ascii="黑体" w:eastAsia="黑体" w:hAnsi="黑体" w:hint="eastAsia"/>
          <w:sz w:val="32"/>
          <w:szCs w:val="32"/>
        </w:rPr>
        <w:t>有关建议</w:t>
      </w:r>
    </w:p>
    <w:p w:rsidR="0074680D" w:rsidRDefault="005420B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1. 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完善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各项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工作计划，确保目标如期完成</w:t>
      </w:r>
    </w:p>
    <w:p w:rsidR="0074680D" w:rsidRDefault="005420B0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建议对于此类新型业务，在设置下一阶段各项工作计划和绩效目标时，根据发现的问题和可能存在的风险，充分考虑项目的特殊性和影响因素，开展前期调研和可行性论证等工作，合理设置预期目标，明确各项功能模块的建设标准、验收规范、时间节点，提高项目完成的及时性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hint="eastAsia"/>
          <w:spacing w:val="-7"/>
          <w:sz w:val="32"/>
          <w:szCs w:val="32"/>
        </w:rPr>
        <w:t xml:space="preserve">         </w:t>
      </w:r>
    </w:p>
    <w:p w:rsidR="0074680D" w:rsidRDefault="005420B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加强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绩效目标管理，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提高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预算编制科学性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绩效目标既是预算编制阶段资金安排的前提条件和基础，也是预算执行中绩效运行监控的主要内容，还是预算执行完毕后绩效评价实施的重要依据，建议通过组织专家论证、社会调查、多部门协同调研等形式，制定清晰、明确、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衡量的项目绩效指标，制定合理的方向，明确项目资金重</w:t>
      </w:r>
      <w:r>
        <w:rPr>
          <w:rFonts w:ascii="仿宋_GB2312" w:eastAsia="仿宋_GB2312" w:hint="eastAsia"/>
          <w:sz w:val="32"/>
          <w:szCs w:val="32"/>
        </w:rPr>
        <w:t>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投向，在此基础上，细化、分解实施措施和方案，合理分配项目实施的资金比例，以可衡量的数据化信息作为及时监控、修订、纠偏、决策的数据来源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用好财政公共资金。</w:t>
      </w:r>
    </w:p>
    <w:p w:rsidR="0074680D" w:rsidRDefault="005420B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规范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项目管理制度，加强日常监督管理</w:t>
      </w:r>
    </w:p>
    <w:p w:rsidR="0074680D" w:rsidRDefault="005420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项目管理办法是项目实施的纲领性文件，是项目在合理区间内规范运行的保障，要结合每年的不同情况及时进行修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订，以符合项目实际，规范项目实施过程及资金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使用。加强项目过程管理，加强项目事前、事中、事后各个环节全过程监督检查，发现偏差和存在问题，及时督促实施单位按照项目管理制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度做好调整手续，规范项目资料并及时归档留存。</w:t>
      </w:r>
    </w:p>
    <w:p w:rsidR="0074680D" w:rsidRDefault="005420B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提高应用程序质量，加大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APP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宣传力度</w:t>
      </w:r>
    </w:p>
    <w:p w:rsidR="0074680D" w:rsidRDefault="005420B0">
      <w:pPr>
        <w:pStyle w:val="a5"/>
        <w:spacing w:line="580" w:lineRule="exact"/>
        <w:ind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任何不稳定、不便捷的应用程序在第一次下载之后，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都可能不再被用户使用。特别是在运营初期，更应专注于应用程序的“质”，保持应用程序在智慧旅游设备上的稳定性和流畅程度，以此提高用户的体验感受，吸引更多客户。</w:t>
      </w:r>
    </w:p>
    <w:p w:rsidR="0074680D" w:rsidRDefault="005420B0">
      <w:pPr>
        <w:pStyle w:val="a5"/>
        <w:spacing w:line="580" w:lineRule="exact"/>
        <w:ind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充实应用程序的数据内容，应用界面设计要精美，各种操作的逻辑性应统一，界面的整齐度要一致，不同信息的分类要明确，获取信息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简单明了。</w:t>
      </w:r>
    </w:p>
    <w:p w:rsidR="0074680D" w:rsidRDefault="005420B0">
      <w:pPr>
        <w:pStyle w:val="a5"/>
        <w:spacing w:line="580" w:lineRule="exact"/>
        <w:ind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各级政府应当加大宣传力度，通过网络、广播电视、公共活动场所、社区等媒体宣传智慧旅游“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一机游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宜春”的便利性和快捷性，可以通过发表科普文章，发行固定期刊等方式对智慧旅游“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一机游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宜春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进行推广与宣传。</w:t>
      </w:r>
    </w:p>
    <w:p w:rsidR="0074680D" w:rsidRDefault="005420B0">
      <w:pPr>
        <w:spacing w:line="580" w:lineRule="exact"/>
        <w:ind w:firstLineChars="200" w:firstLine="643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有效利用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现有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资源，避免设备闲置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浪费</w:t>
      </w:r>
    </w:p>
    <w:p w:rsidR="0074680D" w:rsidRDefault="005420B0">
      <w:pPr>
        <w:pStyle w:val="a5"/>
        <w:spacing w:line="580" w:lineRule="exact"/>
        <w:ind w:firstLine="560"/>
        <w:rPr>
          <w:rFonts w:ascii="Times New Roman" w:eastAsia="仿宋_GB2312" w:hAnsi="Times New Roman" w:cs="Times New Roman"/>
          <w:sz w:val="32"/>
          <w:szCs w:val="32"/>
        </w:rPr>
        <w:sectPr w:rsidR="0074680D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一机游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宜春”充分完成了旅发大会智慧旅游的使命，搭建了平台构架，平台构架在初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有一定的应用，但是后劲不足，平台持续运营正在下降，建议在原来的应用基础或开发基础上，进一步进行市场研究分析，提出如何有效利用资源的方案，对现有设备进行一个判断：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继续运行现有平台，继续完善，追加项目整体运营投入；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二调整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和阿里的合作方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式，更多的应用阿里软件系统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软件体系，对于以前投资当中，利用率较低、设备闲置的部分，在未来决策中应充分考虑，减少相对低效的投资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4680D" w:rsidRDefault="0074680D">
      <w:pPr>
        <w:spacing w:line="580" w:lineRule="exact"/>
        <w:jc w:val="left"/>
        <w:rPr>
          <w:rFonts w:ascii="Times New Roman" w:eastAsia="仿宋_GB2312" w:hAnsi="Times New Roman"/>
          <w:kern w:val="0"/>
          <w:sz w:val="24"/>
          <w:szCs w:val="28"/>
        </w:rPr>
      </w:pPr>
    </w:p>
    <w:sectPr w:rsidR="0074680D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B0" w:rsidRDefault="005420B0">
      <w:r>
        <w:separator/>
      </w:r>
    </w:p>
  </w:endnote>
  <w:endnote w:type="continuationSeparator" w:id="0">
    <w:p w:rsidR="005420B0" w:rsidRDefault="005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0D" w:rsidRDefault="005420B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80D" w:rsidRDefault="005420B0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F5AFC" w:rsidRPr="006F5AFC">
                            <w:rPr>
                              <w:noProof/>
                              <w:lang w:val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4680D" w:rsidRDefault="005420B0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F5AFC" w:rsidRPr="006F5AFC">
                      <w:rPr>
                        <w:noProof/>
                        <w:lang w:val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0D" w:rsidRDefault="0074680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B0" w:rsidRDefault="005420B0">
      <w:r>
        <w:separator/>
      </w:r>
    </w:p>
  </w:footnote>
  <w:footnote w:type="continuationSeparator" w:id="0">
    <w:p w:rsidR="005420B0" w:rsidRDefault="0054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0D" w:rsidRDefault="005420B0">
    <w:pPr>
      <w:pStyle w:val="a8"/>
      <w:pBdr>
        <w:bottom w:val="none" w:sz="0" w:space="0" w:color="auto"/>
      </w:pBdr>
      <w:tabs>
        <w:tab w:val="clear" w:pos="8306"/>
        <w:tab w:val="right" w:pos="8715"/>
      </w:tabs>
      <w:ind w:firstLine="502"/>
      <w:rPr>
        <w:rFonts w:ascii="楷体_GB2312" w:eastAsia="楷体_GB2312"/>
        <w:b/>
        <w:color w:val="008080"/>
        <w:spacing w:val="20"/>
        <w:sz w:val="21"/>
        <w:szCs w:val="21"/>
      </w:rPr>
    </w:pPr>
    <w:proofErr w:type="gramStart"/>
    <w:r>
      <w:rPr>
        <w:rFonts w:ascii="楷体_GB2312" w:eastAsia="楷体_GB2312" w:hint="eastAsia"/>
        <w:b/>
        <w:color w:val="008080"/>
        <w:spacing w:val="20"/>
        <w:sz w:val="21"/>
        <w:szCs w:val="21"/>
      </w:rPr>
      <w:t>南昌龙熙联合</w:t>
    </w:r>
    <w:proofErr w:type="gramEnd"/>
    <w:r>
      <w:rPr>
        <w:rFonts w:ascii="楷体_GB2312" w:eastAsia="楷体_GB2312" w:hint="eastAsia"/>
        <w:b/>
        <w:color w:val="008080"/>
        <w:spacing w:val="20"/>
        <w:sz w:val="21"/>
        <w:szCs w:val="21"/>
      </w:rPr>
      <w:t>会计师事务所（普通合伙）</w:t>
    </w:r>
  </w:p>
  <w:p w:rsidR="0074680D" w:rsidRDefault="005420B0">
    <w:pPr>
      <w:pStyle w:val="a8"/>
      <w:pBdr>
        <w:bottom w:val="none" w:sz="0" w:space="0" w:color="auto"/>
      </w:pBdr>
      <w:tabs>
        <w:tab w:val="clear" w:pos="8306"/>
        <w:tab w:val="right" w:pos="8715"/>
      </w:tabs>
      <w:jc w:val="both"/>
      <w:rPr>
        <w:rFonts w:ascii="楷体_GB2312" w:eastAsia="楷体_GB2312"/>
        <w:b/>
        <w:color w:val="00808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20955</wp:posOffset>
              </wp:positionV>
              <wp:extent cx="5252720" cy="1270"/>
              <wp:effectExtent l="0" t="0" r="0" b="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72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CCCC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1.55pt;margin-top:1.65pt;height:0.1pt;width:413.6pt;z-index:251660288;mso-width-relative:page;mso-height-relative:page;" filled="f" stroked="t" coordsize="21600,21600" o:gfxdata="UEsDBAoAAAAAAIdO4kAAAAAAAAAAAAAAAAAEAAAAZHJzL1BLAwQUAAAACACHTuJAD3TpSdEAAAAF&#10;AQAADwAAAGRycy9kb3ducmV2LnhtbE2OT0vEMBDF74LfIYzgzU1qcSm16aILelPIKnhNm9mmbDMp&#10;TfaP397xpKd5j/d482s2lzCJEy5pjKShWCkQSH10Iw0aPj9e7ioQKVtydoqEGr4xwaa9vmps7eKZ&#10;DJ52eRA8Qqm2GnzOcy1l6j0Gm1ZxRuJsH5dgM9tlkG6xZx4Pk7xXai2DHYk/eDvj1mN/2B2DBoPm&#10;yexf128yHMrnynfvW/OFWt/eFOoRRMZL/ivDLz6jQ8tMXTySS2LSUBZc5FOC4LQqFYuO/QPItpH/&#10;6dsfUEsDBBQAAAAIAIdO4kBeONoE7gEAALsDAAAOAAAAZHJzL2Uyb0RvYy54bWytU81uEzEQviPx&#10;DpbvZJOtSmGVTQ+JyqVApJYHcLzeXQvbY3mcbPISvAASNzhx5N63oTwGY+cHWi49sAfLnp9v5vtm&#10;dnq5tYZtVEANruaT0Zgz5SQ02nU1/3B79eIVZxiFa4QBp2q+U8gvZ8+fTQdfqRJ6MI0KjEAcVoOv&#10;eR+jr4oCZa+swBF45cjZQrAi0jN0RRPEQOjWFOV4/LIYIDQ+gFSIZF3snfyAGJ4CCG2rpVqAXFvl&#10;4h41KCMiUcJee+Sz3G3bKhnfty2qyEzNiWnMJxWh+yqdxWwqqi4I32t5aEE8pYVHnKzQjoqeoBYi&#10;CrYO+h8oq2UAhDaOJNhiTyQrQiwm40fa3PTCq8yFpEZ/Eh3/H6x8t1kGphvaBM6csDTw+88/fn76&#10;+uvuC53337+xSRJp8FhR7NwtQ6Ipt+7GX4P8iMzBvBeuU7nZ250nhJxRPEhJD/RUajW8hYZixDpC&#10;VmzbBpsgSQu2zYPZnQajtpFJMp6X5+VFSTOT5JuUF3luhaiOuT5gfKPAsnSpudEuySYqsbnGSN1T&#10;6DEkmR1caWPy6I1jQ81fU4GcgGB0k5wpDEO3mpvANoKW5+xsTl+SgsAehAVYu2ZvNy7lqbx3h8pH&#10;4nsJV9DsliEFJzvNNMMd9i8tzd/vHPXnn5v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906UnR&#10;AAAABQEAAA8AAAAAAAAAAQAgAAAAIgAAAGRycy9kb3ducmV2LnhtbFBLAQIUABQAAAAIAIdO4kBe&#10;ONoE7gEAALsDAAAOAAAAAAAAAAEAIAAAACABAABkcnMvZTJvRG9jLnhtbFBLBQYAAAAABgAGAFkB&#10;AACABQAAAAA=&#10;">
              <v:fill on="f" focussize="0,0"/>
              <v:stroke color="#33CCCC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56"/>
    <w:rsid w:val="0000306B"/>
    <w:rsid w:val="00051D62"/>
    <w:rsid w:val="000E410C"/>
    <w:rsid w:val="001154F5"/>
    <w:rsid w:val="00151456"/>
    <w:rsid w:val="001971FF"/>
    <w:rsid w:val="001B2DA1"/>
    <w:rsid w:val="001B6AD1"/>
    <w:rsid w:val="001C53C4"/>
    <w:rsid w:val="001E5ECD"/>
    <w:rsid w:val="002A025E"/>
    <w:rsid w:val="002A6805"/>
    <w:rsid w:val="002B5B0B"/>
    <w:rsid w:val="002D431F"/>
    <w:rsid w:val="003045FF"/>
    <w:rsid w:val="003407AE"/>
    <w:rsid w:val="003418F9"/>
    <w:rsid w:val="0037607A"/>
    <w:rsid w:val="003873D5"/>
    <w:rsid w:val="003C0256"/>
    <w:rsid w:val="003F14E2"/>
    <w:rsid w:val="003F4BB0"/>
    <w:rsid w:val="004062A4"/>
    <w:rsid w:val="00422E31"/>
    <w:rsid w:val="00435C0F"/>
    <w:rsid w:val="004D5092"/>
    <w:rsid w:val="004E07EF"/>
    <w:rsid w:val="004F50A0"/>
    <w:rsid w:val="00514900"/>
    <w:rsid w:val="005217EB"/>
    <w:rsid w:val="005420B0"/>
    <w:rsid w:val="00555930"/>
    <w:rsid w:val="00574CB8"/>
    <w:rsid w:val="00575919"/>
    <w:rsid w:val="005942E2"/>
    <w:rsid w:val="005C3228"/>
    <w:rsid w:val="005F27E4"/>
    <w:rsid w:val="005F6C7C"/>
    <w:rsid w:val="00606BDE"/>
    <w:rsid w:val="00626897"/>
    <w:rsid w:val="006A4D26"/>
    <w:rsid w:val="006B3DFB"/>
    <w:rsid w:val="006B46D6"/>
    <w:rsid w:val="006B5453"/>
    <w:rsid w:val="006F5AFC"/>
    <w:rsid w:val="00711535"/>
    <w:rsid w:val="00722449"/>
    <w:rsid w:val="0073394E"/>
    <w:rsid w:val="0074680D"/>
    <w:rsid w:val="007800B9"/>
    <w:rsid w:val="007B46F2"/>
    <w:rsid w:val="007F0EE5"/>
    <w:rsid w:val="00820AFE"/>
    <w:rsid w:val="00823703"/>
    <w:rsid w:val="008354CA"/>
    <w:rsid w:val="0086601E"/>
    <w:rsid w:val="00867D84"/>
    <w:rsid w:val="008A2D7A"/>
    <w:rsid w:val="008D28BE"/>
    <w:rsid w:val="00914F6E"/>
    <w:rsid w:val="009549FF"/>
    <w:rsid w:val="00990944"/>
    <w:rsid w:val="009E77FE"/>
    <w:rsid w:val="00A2683B"/>
    <w:rsid w:val="00A33314"/>
    <w:rsid w:val="00A35EB8"/>
    <w:rsid w:val="00A55DE3"/>
    <w:rsid w:val="00A73829"/>
    <w:rsid w:val="00AC7C5D"/>
    <w:rsid w:val="00AD646C"/>
    <w:rsid w:val="00B07289"/>
    <w:rsid w:val="00B45151"/>
    <w:rsid w:val="00B4797F"/>
    <w:rsid w:val="00B47E41"/>
    <w:rsid w:val="00B531AD"/>
    <w:rsid w:val="00BC1AB3"/>
    <w:rsid w:val="00BE7EFD"/>
    <w:rsid w:val="00C01804"/>
    <w:rsid w:val="00C30CF6"/>
    <w:rsid w:val="00C505B5"/>
    <w:rsid w:val="00C80CA5"/>
    <w:rsid w:val="00C90C6F"/>
    <w:rsid w:val="00C960C6"/>
    <w:rsid w:val="00CA2200"/>
    <w:rsid w:val="00D04773"/>
    <w:rsid w:val="00D17576"/>
    <w:rsid w:val="00D41471"/>
    <w:rsid w:val="00D41E86"/>
    <w:rsid w:val="00D467BC"/>
    <w:rsid w:val="00D47E03"/>
    <w:rsid w:val="00D52DD9"/>
    <w:rsid w:val="00D62AB2"/>
    <w:rsid w:val="00D86261"/>
    <w:rsid w:val="00DD069F"/>
    <w:rsid w:val="00DD11EA"/>
    <w:rsid w:val="00E14268"/>
    <w:rsid w:val="00E25629"/>
    <w:rsid w:val="00E33EAD"/>
    <w:rsid w:val="00E3410A"/>
    <w:rsid w:val="00E43AA2"/>
    <w:rsid w:val="00E504EB"/>
    <w:rsid w:val="00E66466"/>
    <w:rsid w:val="00EC57FB"/>
    <w:rsid w:val="00EF42D3"/>
    <w:rsid w:val="00F43320"/>
    <w:rsid w:val="00FB63EE"/>
    <w:rsid w:val="00FD0850"/>
    <w:rsid w:val="00FD2E50"/>
    <w:rsid w:val="00FE1A72"/>
    <w:rsid w:val="01D437AF"/>
    <w:rsid w:val="03966C81"/>
    <w:rsid w:val="039A49D1"/>
    <w:rsid w:val="08F416B4"/>
    <w:rsid w:val="094C3E48"/>
    <w:rsid w:val="0B6D7817"/>
    <w:rsid w:val="0B8F1466"/>
    <w:rsid w:val="0D73242B"/>
    <w:rsid w:val="12853015"/>
    <w:rsid w:val="1A3446E6"/>
    <w:rsid w:val="1BEB50D0"/>
    <w:rsid w:val="1DA72AA8"/>
    <w:rsid w:val="1F5808F7"/>
    <w:rsid w:val="21453DC5"/>
    <w:rsid w:val="25120052"/>
    <w:rsid w:val="25F17A00"/>
    <w:rsid w:val="264D5E98"/>
    <w:rsid w:val="279C1776"/>
    <w:rsid w:val="28466CC4"/>
    <w:rsid w:val="287902F9"/>
    <w:rsid w:val="292C2563"/>
    <w:rsid w:val="29647276"/>
    <w:rsid w:val="2CAA787C"/>
    <w:rsid w:val="2E14686C"/>
    <w:rsid w:val="2E2E3EE4"/>
    <w:rsid w:val="31ED3A21"/>
    <w:rsid w:val="32A61840"/>
    <w:rsid w:val="356C057C"/>
    <w:rsid w:val="36316AD8"/>
    <w:rsid w:val="37A046D5"/>
    <w:rsid w:val="3BB672B4"/>
    <w:rsid w:val="40A51055"/>
    <w:rsid w:val="431A7A05"/>
    <w:rsid w:val="45350C85"/>
    <w:rsid w:val="453E309D"/>
    <w:rsid w:val="47904812"/>
    <w:rsid w:val="49B020F0"/>
    <w:rsid w:val="4B351CC5"/>
    <w:rsid w:val="4C227412"/>
    <w:rsid w:val="4C8B5ADA"/>
    <w:rsid w:val="4D834FCD"/>
    <w:rsid w:val="4ED843D8"/>
    <w:rsid w:val="50E2131D"/>
    <w:rsid w:val="50FB0493"/>
    <w:rsid w:val="52B044A8"/>
    <w:rsid w:val="534E38A4"/>
    <w:rsid w:val="541B345A"/>
    <w:rsid w:val="55366845"/>
    <w:rsid w:val="5624759B"/>
    <w:rsid w:val="575F30B5"/>
    <w:rsid w:val="57EF1570"/>
    <w:rsid w:val="586B4347"/>
    <w:rsid w:val="59673D16"/>
    <w:rsid w:val="5A786CD8"/>
    <w:rsid w:val="5EF125DA"/>
    <w:rsid w:val="61B16FD1"/>
    <w:rsid w:val="664C7750"/>
    <w:rsid w:val="668E62EF"/>
    <w:rsid w:val="6812412B"/>
    <w:rsid w:val="693375B5"/>
    <w:rsid w:val="6B7F5B00"/>
    <w:rsid w:val="6BC53978"/>
    <w:rsid w:val="6BD426E2"/>
    <w:rsid w:val="6F1054F3"/>
    <w:rsid w:val="730256A9"/>
    <w:rsid w:val="74562C1F"/>
    <w:rsid w:val="747B5891"/>
    <w:rsid w:val="76F319B6"/>
    <w:rsid w:val="7AC36165"/>
    <w:rsid w:val="7AE40C67"/>
    <w:rsid w:val="7D1463C9"/>
    <w:rsid w:val="7ED514DF"/>
    <w:rsid w:val="7F137186"/>
    <w:rsid w:val="7F8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0">
    <w:name w:val="heading 2"/>
    <w:basedOn w:val="a"/>
    <w:next w:val="a"/>
    <w:uiPriority w:val="1"/>
    <w:qFormat/>
    <w:pPr>
      <w:spacing w:before="2"/>
      <w:ind w:left="400"/>
      <w:outlineLvl w:val="1"/>
    </w:pPr>
    <w:rPr>
      <w:rFonts w:ascii="仿宋" w:eastAsia="仿宋" w:hAnsi="仿宋" w:cs="仿宋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uiPriority w:val="99"/>
    <w:unhideWhenUsed/>
    <w:qFormat/>
    <w:rPr>
      <w:rFonts w:ascii="仿宋" w:hAnsi="仿宋" w:cs="宋体"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HTML">
    <w:name w:val="HTML Preformatted"/>
    <w:basedOn w:val="a"/>
    <w:link w:val="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Chars="200" w:firstLine="200"/>
      <w:jc w:val="left"/>
    </w:pPr>
    <w:rPr>
      <w:rFonts w:ascii="宋体" w:hAnsi="宋体"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/>
      <w:sz w:val="24"/>
      <w:szCs w:val="24"/>
    </w:rPr>
  </w:style>
  <w:style w:type="character" w:customStyle="1" w:styleId="HTML1">
    <w:name w:val="HTML 预设格式 字符1"/>
    <w:basedOn w:val="a0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Bodytext1">
    <w:name w:val="Body text|1"/>
    <w:basedOn w:val="a"/>
    <w:qFormat/>
    <w:pPr>
      <w:spacing w:line="439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customStyle="1" w:styleId="ac">
    <w:name w:val="闻政附件一级标题"/>
    <w:basedOn w:val="a"/>
    <w:next w:val="ad"/>
    <w:uiPriority w:val="6"/>
    <w:qFormat/>
    <w:pPr>
      <w:spacing w:before="120" w:after="60" w:line="500" w:lineRule="exact"/>
      <w:ind w:firstLineChars="200" w:firstLine="200"/>
      <w:jc w:val="left"/>
    </w:pPr>
    <w:rPr>
      <w:rFonts w:ascii="Times New Roman" w:eastAsia="仿宋_GB2312" w:hAnsi="Times New Roman" w:cs="宋体"/>
      <w:b/>
      <w:kern w:val="0"/>
      <w:sz w:val="28"/>
      <w:szCs w:val="28"/>
      <w:lang w:val="zh-CN"/>
    </w:rPr>
  </w:style>
  <w:style w:type="paragraph" w:customStyle="1" w:styleId="ad">
    <w:name w:val="闻政附件正文"/>
    <w:basedOn w:val="ae"/>
    <w:uiPriority w:val="6"/>
    <w:qFormat/>
    <w:rPr>
      <w:sz w:val="24"/>
    </w:rPr>
  </w:style>
  <w:style w:type="paragraph" w:customStyle="1" w:styleId="ae">
    <w:name w:val="闻政正文"/>
    <w:basedOn w:val="a"/>
    <w:uiPriority w:val="3"/>
    <w:qFormat/>
    <w:pPr>
      <w:spacing w:line="500" w:lineRule="exact"/>
      <w:ind w:firstLineChars="200" w:firstLine="200"/>
    </w:pPr>
    <w:rPr>
      <w:rFonts w:ascii="Times New Roman" w:eastAsia="仿宋_GB2312" w:hAnsi="Times New Roman"/>
      <w:kern w:val="0"/>
      <w:sz w:val="28"/>
      <w:szCs w:val="28"/>
      <w:lang w:val="zh-CN"/>
    </w:rPr>
  </w:style>
  <w:style w:type="paragraph" w:customStyle="1" w:styleId="Other1">
    <w:name w:val="Other|1"/>
    <w:basedOn w:val="a"/>
    <w:qFormat/>
    <w:pPr>
      <w:spacing w:line="391" w:lineRule="auto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0">
    <w:name w:val="heading 2"/>
    <w:basedOn w:val="a"/>
    <w:next w:val="a"/>
    <w:uiPriority w:val="1"/>
    <w:qFormat/>
    <w:pPr>
      <w:spacing w:before="2"/>
      <w:ind w:left="400"/>
      <w:outlineLvl w:val="1"/>
    </w:pPr>
    <w:rPr>
      <w:rFonts w:ascii="仿宋" w:eastAsia="仿宋" w:hAnsi="仿宋" w:cs="仿宋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ody Text"/>
    <w:basedOn w:val="a"/>
    <w:uiPriority w:val="99"/>
    <w:unhideWhenUsed/>
    <w:qFormat/>
    <w:rPr>
      <w:rFonts w:ascii="仿宋" w:hAnsi="仿宋" w:cs="宋体"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HTML">
    <w:name w:val="HTML Preformatted"/>
    <w:basedOn w:val="a"/>
    <w:link w:val="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Chars="200" w:firstLine="200"/>
      <w:jc w:val="left"/>
    </w:pPr>
    <w:rPr>
      <w:rFonts w:ascii="宋体" w:hAnsi="宋体"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/>
      <w:sz w:val="24"/>
      <w:szCs w:val="24"/>
    </w:rPr>
  </w:style>
  <w:style w:type="character" w:customStyle="1" w:styleId="HTML1">
    <w:name w:val="HTML 预设格式 字符1"/>
    <w:basedOn w:val="a0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Bodytext1">
    <w:name w:val="Body text|1"/>
    <w:basedOn w:val="a"/>
    <w:qFormat/>
    <w:pPr>
      <w:spacing w:line="439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customStyle="1" w:styleId="ac">
    <w:name w:val="闻政附件一级标题"/>
    <w:basedOn w:val="a"/>
    <w:next w:val="ad"/>
    <w:uiPriority w:val="6"/>
    <w:qFormat/>
    <w:pPr>
      <w:spacing w:before="120" w:after="60" w:line="500" w:lineRule="exact"/>
      <w:ind w:firstLineChars="200" w:firstLine="200"/>
      <w:jc w:val="left"/>
    </w:pPr>
    <w:rPr>
      <w:rFonts w:ascii="Times New Roman" w:eastAsia="仿宋_GB2312" w:hAnsi="Times New Roman" w:cs="宋体"/>
      <w:b/>
      <w:kern w:val="0"/>
      <w:sz w:val="28"/>
      <w:szCs w:val="28"/>
      <w:lang w:val="zh-CN"/>
    </w:rPr>
  </w:style>
  <w:style w:type="paragraph" w:customStyle="1" w:styleId="ad">
    <w:name w:val="闻政附件正文"/>
    <w:basedOn w:val="ae"/>
    <w:uiPriority w:val="6"/>
    <w:qFormat/>
    <w:rPr>
      <w:sz w:val="24"/>
    </w:rPr>
  </w:style>
  <w:style w:type="paragraph" w:customStyle="1" w:styleId="ae">
    <w:name w:val="闻政正文"/>
    <w:basedOn w:val="a"/>
    <w:uiPriority w:val="3"/>
    <w:qFormat/>
    <w:pPr>
      <w:spacing w:line="500" w:lineRule="exact"/>
      <w:ind w:firstLineChars="200" w:firstLine="200"/>
    </w:pPr>
    <w:rPr>
      <w:rFonts w:ascii="Times New Roman" w:eastAsia="仿宋_GB2312" w:hAnsi="Times New Roman"/>
      <w:kern w:val="0"/>
      <w:sz w:val="28"/>
      <w:szCs w:val="28"/>
      <w:lang w:val="zh-CN"/>
    </w:rPr>
  </w:style>
  <w:style w:type="paragraph" w:customStyle="1" w:styleId="Other1">
    <w:name w:val="Other|1"/>
    <w:basedOn w:val="a"/>
    <w:qFormat/>
    <w:pPr>
      <w:spacing w:line="391" w:lineRule="auto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E8BC04-414D-4870-B22B-D138B697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576</Words>
  <Characters>3286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蜗 牛</dc:creator>
  <cp:lastModifiedBy>china</cp:lastModifiedBy>
  <cp:revision>16</cp:revision>
  <dcterms:created xsi:type="dcterms:W3CDTF">2020-08-29T12:19:00Z</dcterms:created>
  <dcterms:modified xsi:type="dcterms:W3CDTF">2022-04-24T02:48:00Z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