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方正小标宋简体" w:hAnsi="方正小标宋简体" w:eastAsia="方正小标宋简体" w:cs="方正小标宋简体"/>
          <w:bCs/>
          <w:color w:val="auto"/>
          <w:sz w:val="44"/>
          <w:szCs w:val="44"/>
          <w:highlight w:val="none"/>
          <w:lang w:eastAsia="zh-CN"/>
        </w:rPr>
      </w:pPr>
      <w:r>
        <w:rPr>
          <w:rFonts w:hint="eastAsia" w:ascii="方正小标宋简体" w:hAnsi="方正小标宋简体" w:eastAsia="方正小标宋简体" w:cs="方正小标宋简体"/>
          <w:bCs/>
          <w:color w:val="auto"/>
          <w:sz w:val="44"/>
          <w:szCs w:val="44"/>
          <w:highlight w:val="none"/>
          <w:lang w:eastAsia="zh-CN"/>
        </w:rPr>
        <w:t>原宜春市体育局2019年度部门整体支出</w:t>
      </w: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b w:val="0"/>
          <w:bCs w:val="0"/>
        </w:rPr>
      </w:pPr>
      <w:r>
        <w:rPr>
          <w:rFonts w:hint="eastAsia" w:ascii="方正小标宋简体" w:hAnsi="方正小标宋简体" w:eastAsia="方正小标宋简体" w:cs="方正小标宋简体"/>
          <w:bCs/>
          <w:color w:val="auto"/>
          <w:sz w:val="44"/>
          <w:szCs w:val="44"/>
          <w:highlight w:val="none"/>
          <w:lang w:val="en-US" w:eastAsia="zh-CN"/>
        </w:rPr>
        <w:t>财政</w:t>
      </w:r>
      <w:r>
        <w:rPr>
          <w:rFonts w:hint="eastAsia" w:ascii="方正小标宋简体" w:hAnsi="方正小标宋简体" w:eastAsia="方正小标宋简体" w:cs="方正小标宋简体"/>
          <w:bCs/>
          <w:color w:val="auto"/>
          <w:sz w:val="44"/>
          <w:szCs w:val="44"/>
          <w:highlight w:val="none"/>
          <w:lang w:eastAsia="zh-CN"/>
        </w:rPr>
        <w:t>重点绩效评价报告</w:t>
      </w:r>
    </w:p>
    <w:p>
      <w:pPr>
        <w:pStyle w:val="14"/>
        <w:keepNext w:val="0"/>
        <w:keepLines w:val="0"/>
        <w:pageBreakBefore w:val="0"/>
        <w:widowControl w:val="0"/>
        <w:numPr>
          <w:ilvl w:val="0"/>
          <w:numId w:val="0"/>
        </w:numPr>
        <w:shd w:val="clear" w:color="auto" w:fill="auto"/>
        <w:tabs>
          <w:tab w:val="left" w:pos="1580"/>
        </w:tabs>
        <w:kinsoku/>
        <w:wordWrap/>
        <w:overflowPunct/>
        <w:topLinePunct w:val="0"/>
        <w:autoSpaceDE/>
        <w:autoSpaceDN/>
        <w:bidi w:val="0"/>
        <w:adjustRightInd/>
        <w:snapToGrid/>
        <w:spacing w:before="0" w:after="0" w:line="240" w:lineRule="auto"/>
        <w:ind w:right="0" w:rightChars="0" w:firstLine="640" w:firstLineChars="200"/>
        <w:jc w:val="both"/>
        <w:textAlignment w:val="auto"/>
        <w:rPr>
          <w:rFonts w:hint="eastAsia" w:ascii="黑体" w:hAnsi="黑体" w:eastAsia="黑体" w:cs="黑体"/>
          <w:b w:val="0"/>
          <w:bCs w:val="0"/>
          <w:sz w:val="32"/>
          <w:szCs w:val="32"/>
          <w:lang w:val="en-US" w:eastAsia="zh-CN"/>
        </w:rPr>
      </w:pPr>
    </w:p>
    <w:p>
      <w:pPr>
        <w:pStyle w:val="14"/>
        <w:keepNext w:val="0"/>
        <w:keepLines w:val="0"/>
        <w:pageBreakBefore w:val="0"/>
        <w:widowControl w:val="0"/>
        <w:numPr>
          <w:ilvl w:val="0"/>
          <w:numId w:val="0"/>
        </w:numPr>
        <w:shd w:val="clear" w:color="auto" w:fill="auto"/>
        <w:tabs>
          <w:tab w:val="left" w:pos="1580"/>
        </w:tabs>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0"/>
        <w:rPr>
          <w:rFonts w:hint="eastAsia" w:ascii="黑体" w:hAnsi="黑体" w:eastAsia="黑体" w:cs="黑体"/>
          <w:b w:val="0"/>
          <w:bCs w:val="0"/>
          <w:sz w:val="32"/>
          <w:szCs w:val="32"/>
        </w:rPr>
      </w:pPr>
      <w:bookmarkStart w:id="0" w:name="_Toc436"/>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部门概况</w:t>
      </w:r>
      <w:bookmarkEnd w:id="0"/>
    </w:p>
    <w:p>
      <w:pPr>
        <w:pStyle w:val="14"/>
        <w:keepNext w:val="0"/>
        <w:keepLines w:val="0"/>
        <w:pageBreakBefore w:val="0"/>
        <w:widowControl w:val="0"/>
        <w:shd w:val="clear" w:color="auto" w:fill="auto"/>
        <w:tabs>
          <w:tab w:val="left" w:pos="1580"/>
        </w:tabs>
        <w:kinsoku/>
        <w:wordWrap/>
        <w:overflowPunct/>
        <w:topLinePunct w:val="0"/>
        <w:autoSpaceDE/>
        <w:autoSpaceDN/>
        <w:bidi w:val="0"/>
        <w:adjustRightInd/>
        <w:snapToGrid/>
        <w:spacing w:before="0" w:after="0" w:line="540" w:lineRule="exact"/>
        <w:ind w:left="0" w:right="0" w:firstLine="640" w:firstLineChars="200"/>
        <w:jc w:val="both"/>
        <w:textAlignment w:val="auto"/>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pPr>
      <w:r>
        <w:rPr>
          <w:rFonts w:hint="eastAsia" w:ascii="Times New Roman" w:hAnsi="Times New Roman" w:eastAsia="仿宋_GB2312" w:cs="Times New Roman"/>
          <w:bCs/>
          <w:color w:val="auto"/>
          <w:kern w:val="0"/>
          <w:sz w:val="32"/>
          <w:szCs w:val="32"/>
          <w:highlight w:val="none"/>
          <w:u w:val="none"/>
          <w:shd w:val="clear" w:color="auto" w:fill="auto"/>
          <w:lang w:val="en-US" w:eastAsia="zh-CN" w:bidi="ar-SA"/>
        </w:rPr>
        <w:t>原宜春市体育局</w:t>
      </w: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（以下简称:市</w:t>
      </w:r>
      <w:r>
        <w:rPr>
          <w:rFonts w:hint="eastAsia" w:ascii="Times New Roman" w:hAnsi="Times New Roman" w:eastAsia="仿宋_GB2312" w:cs="Times New Roman"/>
          <w:bCs/>
          <w:color w:val="auto"/>
          <w:kern w:val="0"/>
          <w:sz w:val="32"/>
          <w:szCs w:val="32"/>
          <w:highlight w:val="none"/>
          <w:u w:val="none"/>
          <w:shd w:val="clear" w:color="auto" w:fill="auto"/>
          <w:lang w:val="en-US" w:eastAsia="zh-CN" w:bidi="ar-SA"/>
        </w:rPr>
        <w:t>体育局</w:t>
      </w: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w:t>
      </w:r>
      <w:r>
        <w:rPr>
          <w:rFonts w:hint="eastAsia" w:ascii="Times New Roman" w:hAnsi="Times New Roman" w:eastAsia="仿宋_GB2312" w:cs="Times New Roman"/>
          <w:bCs/>
          <w:color w:val="auto"/>
          <w:kern w:val="0"/>
          <w:sz w:val="32"/>
          <w:szCs w:val="32"/>
          <w:highlight w:val="none"/>
          <w:u w:val="none"/>
          <w:shd w:val="clear" w:color="auto" w:fill="auto"/>
          <w:lang w:val="en-US" w:eastAsia="zh-CN" w:bidi="ar-SA"/>
        </w:rPr>
        <w:t>2019</w:t>
      </w: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年</w:t>
      </w:r>
      <w:r>
        <w:rPr>
          <w:rFonts w:hint="eastAsia" w:ascii="Times New Roman" w:hAnsi="Times New Roman" w:eastAsia="仿宋_GB2312" w:cs="Times New Roman"/>
          <w:bCs/>
          <w:color w:val="auto"/>
          <w:kern w:val="0"/>
          <w:sz w:val="32"/>
          <w:szCs w:val="32"/>
          <w:highlight w:val="none"/>
          <w:u w:val="none"/>
          <w:shd w:val="clear" w:color="auto" w:fill="auto"/>
          <w:lang w:val="en-US" w:eastAsia="zh-CN" w:bidi="ar-SA"/>
        </w:rPr>
        <w:t>3</w:t>
      </w: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月</w:t>
      </w:r>
      <w:r>
        <w:rPr>
          <w:rFonts w:hint="eastAsia" w:ascii="Times New Roman" w:hAnsi="Times New Roman" w:eastAsia="仿宋_GB2312" w:cs="Times New Roman"/>
          <w:bCs/>
          <w:color w:val="auto"/>
          <w:kern w:val="0"/>
          <w:sz w:val="32"/>
          <w:szCs w:val="32"/>
          <w:highlight w:val="none"/>
          <w:u w:val="none"/>
          <w:shd w:val="clear" w:color="auto" w:fill="auto"/>
          <w:lang w:val="en-US" w:eastAsia="zh-CN" w:bidi="ar-SA"/>
        </w:rPr>
        <w:t>遵照</w:t>
      </w: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机构改革精神，</w:t>
      </w:r>
      <w:r>
        <w:rPr>
          <w:rFonts w:hint="eastAsia" w:ascii="Times New Roman" w:hAnsi="Times New Roman" w:eastAsia="仿宋_GB2312" w:cs="Times New Roman"/>
          <w:bCs/>
          <w:color w:val="auto"/>
          <w:kern w:val="0"/>
          <w:sz w:val="32"/>
          <w:szCs w:val="32"/>
          <w:highlight w:val="none"/>
          <w:u w:val="none"/>
          <w:shd w:val="clear" w:color="auto" w:fill="auto"/>
          <w:lang w:val="en-US" w:eastAsia="zh-CN" w:bidi="ar-SA"/>
        </w:rPr>
        <w:t>与</w:t>
      </w: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宜春市</w:t>
      </w:r>
      <w:r>
        <w:rPr>
          <w:rFonts w:hint="eastAsia" w:ascii="Times New Roman" w:hAnsi="Times New Roman" w:eastAsia="仿宋_GB2312" w:cs="Times New Roman"/>
          <w:bCs/>
          <w:color w:val="auto"/>
          <w:kern w:val="0"/>
          <w:sz w:val="32"/>
          <w:szCs w:val="32"/>
          <w:highlight w:val="none"/>
          <w:u w:val="none"/>
          <w:shd w:val="clear" w:color="auto" w:fill="auto"/>
          <w:lang w:val="en-US" w:eastAsia="zh-CN" w:bidi="ar-SA"/>
        </w:rPr>
        <w:t>教育局合并</w:t>
      </w: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设立正处级行政部门</w:t>
      </w:r>
      <w:r>
        <w:rPr>
          <w:rFonts w:hint="eastAsia" w:ascii="Times New Roman" w:hAnsi="Times New Roman" w:eastAsia="仿宋_GB2312" w:cs="Times New Roman"/>
          <w:bCs/>
          <w:color w:val="auto"/>
          <w:kern w:val="0"/>
          <w:sz w:val="32"/>
          <w:szCs w:val="32"/>
          <w:highlight w:val="none"/>
          <w:u w:val="none"/>
          <w:shd w:val="clear" w:color="auto" w:fill="auto"/>
          <w:lang w:val="en-US" w:eastAsia="zh-CN" w:bidi="ar-SA"/>
        </w:rPr>
        <w:t>。现机构名称为宜春市教育体育局</w:t>
      </w: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。主要职责是</w:t>
      </w:r>
      <w:r>
        <w:rPr>
          <w:rFonts w:hint="eastAsia" w:ascii="Times New Roman" w:hAnsi="Times New Roman" w:eastAsia="仿宋_GB2312" w:cs="Times New Roman"/>
          <w:bCs/>
          <w:color w:val="auto"/>
          <w:kern w:val="0"/>
          <w:sz w:val="32"/>
          <w:szCs w:val="32"/>
          <w:highlight w:val="none"/>
          <w:u w:val="none"/>
          <w:shd w:val="clear" w:color="auto" w:fill="auto"/>
          <w:lang w:val="en-US" w:eastAsia="zh-CN" w:bidi="ar-SA"/>
        </w:rPr>
        <w:t>：</w:t>
      </w: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负责制订全市教育体育事业发展规划、计划并组织实施</w:t>
      </w:r>
      <w:r>
        <w:rPr>
          <w:rFonts w:hint="eastAsia" w:ascii="Times New Roman" w:hAnsi="Times New Roman" w:eastAsia="仿宋_GB2312" w:cs="Times New Roman"/>
          <w:bCs/>
          <w:color w:val="auto"/>
          <w:kern w:val="0"/>
          <w:sz w:val="32"/>
          <w:szCs w:val="32"/>
          <w:highlight w:val="none"/>
          <w:u w:val="none"/>
          <w:shd w:val="clear" w:color="auto" w:fill="auto"/>
          <w:lang w:val="en-US" w:eastAsia="zh-CN" w:bidi="ar-SA"/>
        </w:rPr>
        <w:t>；</w:t>
      </w: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组织实施全民健身计划，指导并开展群众性体育活动，监督实施国家体育锻炼标准，推行国民体质监测和社会体育指导员制度；统筹规划青少年体育发展，指导和推进青少年体育工作</w:t>
      </w:r>
      <w:r>
        <w:rPr>
          <w:rFonts w:hint="eastAsia" w:ascii="Times New Roman" w:hAnsi="Times New Roman" w:eastAsia="仿宋_GB2312" w:cs="Times New Roman"/>
          <w:bCs/>
          <w:color w:val="auto"/>
          <w:kern w:val="0"/>
          <w:sz w:val="32"/>
          <w:szCs w:val="32"/>
          <w:highlight w:val="none"/>
          <w:u w:val="none"/>
          <w:shd w:val="clear" w:color="auto" w:fill="auto"/>
          <w:lang w:val="en-US" w:eastAsia="zh-CN" w:bidi="ar-SA"/>
        </w:rPr>
        <w:t>；</w:t>
      </w: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指导公共体育设施建设，监督管理公共体育设施；负责全市社会体育团体指导和管理</w:t>
      </w:r>
      <w:r>
        <w:rPr>
          <w:rFonts w:hint="eastAsia" w:ascii="Times New Roman" w:hAnsi="Times New Roman" w:eastAsia="仿宋_GB2312" w:cs="Times New Roman"/>
          <w:bCs/>
          <w:color w:val="auto"/>
          <w:kern w:val="0"/>
          <w:sz w:val="32"/>
          <w:szCs w:val="32"/>
          <w:highlight w:val="none"/>
          <w:u w:val="none"/>
          <w:shd w:val="clear" w:color="auto" w:fill="auto"/>
          <w:lang w:val="en-US" w:eastAsia="zh-CN" w:bidi="ar-SA"/>
        </w:rPr>
        <w:t>；</w:t>
      </w: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统筹规划全市竞技体育发展及项目设置与布局，制定全市体育竞赛制度、计划和竞赛规程，开展竞赛和训练工作。指导和管理对外体育交往，开展区域性的体育合作与交流；承办相关体育竞赛项目</w:t>
      </w:r>
      <w:r>
        <w:rPr>
          <w:rFonts w:hint="eastAsia" w:ascii="Times New Roman" w:hAnsi="Times New Roman" w:eastAsia="仿宋_GB2312" w:cs="Times New Roman"/>
          <w:bCs/>
          <w:color w:val="auto"/>
          <w:kern w:val="0"/>
          <w:sz w:val="32"/>
          <w:szCs w:val="32"/>
          <w:highlight w:val="none"/>
          <w:u w:val="none"/>
          <w:shd w:val="clear" w:color="auto" w:fill="auto"/>
          <w:lang w:val="en-US" w:eastAsia="zh-CN" w:bidi="ar-SA"/>
        </w:rPr>
        <w:t>；</w:t>
      </w: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负责全市体育市场相关产业的指导、监督管理工作，规范体育服务管理，推动体育标准化建设，协调管理体育彩票的销售工作</w:t>
      </w:r>
      <w:r>
        <w:rPr>
          <w:rFonts w:hint="eastAsia" w:ascii="Times New Roman" w:hAnsi="Times New Roman" w:eastAsia="仿宋_GB2312" w:cs="Times New Roman"/>
          <w:bCs/>
          <w:color w:val="auto"/>
          <w:kern w:val="0"/>
          <w:sz w:val="32"/>
          <w:szCs w:val="32"/>
          <w:highlight w:val="none"/>
          <w:u w:val="none"/>
          <w:shd w:val="clear" w:color="auto" w:fill="auto"/>
          <w:lang w:val="en-US" w:eastAsia="zh-CN" w:bidi="ar-SA"/>
        </w:rPr>
        <w:t>；</w:t>
      </w: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完成市委、市政府交办的其他任务。</w:t>
      </w:r>
    </w:p>
    <w:p>
      <w:pPr>
        <w:pStyle w:val="14"/>
        <w:keepNext w:val="0"/>
        <w:keepLines w:val="0"/>
        <w:pageBreakBefore w:val="0"/>
        <w:widowControl w:val="0"/>
        <w:shd w:val="clear" w:color="auto" w:fill="auto"/>
        <w:kinsoku/>
        <w:wordWrap/>
        <w:overflowPunct/>
        <w:topLinePunct w:val="0"/>
        <w:autoSpaceDE/>
        <w:autoSpaceDN/>
        <w:bidi w:val="0"/>
        <w:spacing w:before="0" w:after="0" w:line="540" w:lineRule="exact"/>
        <w:ind w:right="0" w:firstLine="640" w:firstLineChars="200"/>
        <w:jc w:val="both"/>
        <w:textAlignment w:val="auto"/>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pPr>
      <w:r>
        <w:rPr>
          <w:rFonts w:hint="eastAsia" w:ascii="Times New Roman" w:hAnsi="Times New Roman" w:eastAsia="仿宋_GB2312" w:cs="Times New Roman"/>
          <w:bCs/>
          <w:color w:val="auto"/>
          <w:kern w:val="0"/>
          <w:sz w:val="32"/>
          <w:szCs w:val="32"/>
          <w:highlight w:val="none"/>
          <w:u w:val="none"/>
          <w:shd w:val="clear" w:color="auto" w:fill="auto"/>
          <w:lang w:val="en-US" w:eastAsia="zh-CN" w:bidi="ar-SA"/>
        </w:rPr>
        <w:t>原宜春市体育局的</w:t>
      </w: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内设机构有秘书科、群众体育科</w:t>
      </w:r>
      <w:r>
        <w:rPr>
          <w:rFonts w:hint="eastAsia" w:ascii="Times New Roman" w:hAnsi="Times New Roman" w:eastAsia="仿宋_GB2312" w:cs="Times New Roman"/>
          <w:bCs/>
          <w:color w:val="auto"/>
          <w:kern w:val="0"/>
          <w:sz w:val="32"/>
          <w:szCs w:val="32"/>
          <w:highlight w:val="none"/>
          <w:u w:val="none"/>
          <w:shd w:val="clear" w:color="auto" w:fill="auto"/>
          <w:lang w:val="en-US" w:eastAsia="zh-CN" w:bidi="ar-SA"/>
        </w:rPr>
        <w:t>、</w:t>
      </w: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竞赛训练科</w:t>
      </w:r>
      <w:r>
        <w:rPr>
          <w:rFonts w:hint="eastAsia" w:ascii="Times New Roman" w:hAnsi="Times New Roman" w:eastAsia="仿宋_GB2312" w:cs="Times New Roman"/>
          <w:bCs/>
          <w:color w:val="auto"/>
          <w:kern w:val="0"/>
          <w:sz w:val="32"/>
          <w:szCs w:val="32"/>
          <w:highlight w:val="none"/>
          <w:u w:val="none"/>
          <w:shd w:val="clear" w:color="auto" w:fill="auto"/>
          <w:lang w:val="en-US" w:eastAsia="zh-CN" w:bidi="ar-SA"/>
        </w:rPr>
        <w:t>、</w:t>
      </w: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体育产业科。整个部门独立核算单位</w:t>
      </w:r>
      <w:r>
        <w:rPr>
          <w:rFonts w:hint="eastAsia" w:ascii="Times New Roman" w:hAnsi="Times New Roman" w:eastAsia="仿宋_GB2312" w:cs="Times New Roman"/>
          <w:bCs/>
          <w:color w:val="auto"/>
          <w:kern w:val="0"/>
          <w:sz w:val="32"/>
          <w:szCs w:val="32"/>
          <w:highlight w:val="none"/>
          <w:u w:val="none"/>
          <w:shd w:val="clear" w:color="auto" w:fill="auto"/>
          <w:lang w:val="en-US" w:eastAsia="zh-CN" w:bidi="ar-SA"/>
        </w:rPr>
        <w:t>有4</w:t>
      </w: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个</w:t>
      </w:r>
      <w:r>
        <w:rPr>
          <w:rFonts w:hint="eastAsia" w:ascii="Times New Roman" w:hAnsi="Times New Roman" w:eastAsia="仿宋_GB2312" w:cs="Times New Roman"/>
          <w:bCs/>
          <w:color w:val="auto"/>
          <w:kern w:val="0"/>
          <w:sz w:val="32"/>
          <w:szCs w:val="32"/>
          <w:highlight w:val="none"/>
          <w:u w:val="none"/>
          <w:shd w:val="clear" w:color="auto" w:fill="auto"/>
          <w:lang w:val="en-US" w:eastAsia="zh-CN" w:bidi="ar-SA"/>
        </w:rPr>
        <w:t>，包括</w:t>
      </w: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原宜春市体育局本级和3个所属二级预算单位</w:t>
      </w:r>
      <w:r>
        <w:rPr>
          <w:rFonts w:hint="eastAsia" w:ascii="Times New Roman" w:hAnsi="Times New Roman" w:eastAsia="仿宋_GB2312" w:cs="Times New Roman"/>
          <w:bCs/>
          <w:color w:val="auto"/>
          <w:kern w:val="0"/>
          <w:sz w:val="32"/>
          <w:szCs w:val="32"/>
          <w:highlight w:val="none"/>
          <w:u w:val="none"/>
          <w:shd w:val="clear" w:color="auto" w:fill="auto"/>
          <w:lang w:val="en-US" w:eastAsia="zh-CN" w:bidi="ar-SA"/>
        </w:rPr>
        <w:t>：</w:t>
      </w: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宜春市少年体校、宜春市水上运动基地、宜春市老年人体育协会办公室</w:t>
      </w:r>
      <w:r>
        <w:rPr>
          <w:rFonts w:hint="eastAsia" w:ascii="Times New Roman" w:hAnsi="Times New Roman" w:eastAsia="仿宋_GB2312" w:cs="Times New Roman"/>
          <w:bCs/>
          <w:color w:val="auto"/>
          <w:kern w:val="0"/>
          <w:sz w:val="32"/>
          <w:szCs w:val="32"/>
          <w:highlight w:val="none"/>
          <w:u w:val="none"/>
          <w:shd w:val="clear" w:color="auto" w:fill="auto"/>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pPr>
      <w:r>
        <w:rPr>
          <w:rFonts w:hint="eastAsia" w:ascii="Times New Roman" w:hAnsi="Times New Roman" w:eastAsia="仿宋_GB2312" w:cs="Times New Roman"/>
          <w:bCs/>
          <w:color w:val="auto"/>
          <w:kern w:val="0"/>
          <w:sz w:val="32"/>
          <w:szCs w:val="32"/>
          <w:highlight w:val="none"/>
          <w:u w:val="none"/>
          <w:shd w:val="clear" w:color="auto" w:fill="auto"/>
          <w:lang w:val="en-US" w:eastAsia="zh-CN" w:bidi="ar-SA"/>
        </w:rPr>
        <w:t>2019</w:t>
      </w: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年部门编制人数59人，其中：行政编制13人，工勤编制1名，全额补助事业编制33人，自收自支事业编制12人。</w:t>
      </w:r>
      <w:r>
        <w:rPr>
          <w:rFonts w:hint="eastAsia" w:ascii="Times New Roman" w:hAnsi="Times New Roman" w:eastAsia="仿宋_GB2312" w:cs="Times New Roman"/>
          <w:bCs/>
          <w:color w:val="auto"/>
          <w:kern w:val="0"/>
          <w:sz w:val="32"/>
          <w:szCs w:val="32"/>
          <w:highlight w:val="none"/>
          <w:u w:val="none"/>
          <w:shd w:val="clear" w:color="auto" w:fill="auto"/>
          <w:lang w:val="en-US" w:eastAsia="zh-CN" w:bidi="ar-SA"/>
        </w:rPr>
        <w:t>年末</w:t>
      </w: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实有人数</w:t>
      </w:r>
      <w:r>
        <w:rPr>
          <w:rFonts w:hint="eastAsia" w:eastAsia="仿宋_GB2312" w:cs="Times New Roman"/>
          <w:bCs/>
          <w:color w:val="auto"/>
          <w:kern w:val="0"/>
          <w:sz w:val="32"/>
          <w:szCs w:val="32"/>
          <w:highlight w:val="none"/>
          <w:u w:val="none"/>
          <w:shd w:val="clear" w:color="auto" w:fill="auto"/>
          <w:lang w:val="en-US" w:eastAsia="zh-CN" w:bidi="ar-SA"/>
        </w:rPr>
        <w:t>81</w:t>
      </w: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人，其中：在职人数5</w:t>
      </w:r>
      <w:r>
        <w:rPr>
          <w:rFonts w:hint="eastAsia" w:eastAsia="仿宋_GB2312" w:cs="Times New Roman"/>
          <w:bCs/>
          <w:color w:val="auto"/>
          <w:kern w:val="0"/>
          <w:sz w:val="32"/>
          <w:szCs w:val="32"/>
          <w:highlight w:val="none"/>
          <w:u w:val="none"/>
          <w:shd w:val="clear" w:color="auto" w:fill="auto"/>
          <w:lang w:val="en-US" w:eastAsia="zh-CN" w:bidi="ar-SA"/>
        </w:rPr>
        <w:t>7</w:t>
      </w: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 xml:space="preserve"> 人，包括行政人员</w:t>
      </w:r>
      <w:r>
        <w:rPr>
          <w:rFonts w:hint="eastAsia" w:eastAsia="仿宋_GB2312" w:cs="Times New Roman"/>
          <w:bCs/>
          <w:color w:val="auto"/>
          <w:kern w:val="0"/>
          <w:sz w:val="32"/>
          <w:szCs w:val="32"/>
          <w:highlight w:val="none"/>
          <w:u w:val="none"/>
          <w:shd w:val="clear" w:color="auto" w:fill="auto"/>
          <w:lang w:val="en-US" w:eastAsia="zh-CN" w:bidi="ar-SA"/>
        </w:rPr>
        <w:t>13</w:t>
      </w: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人</w:t>
      </w:r>
      <w:r>
        <w:rPr>
          <w:rFonts w:hint="eastAsia" w:eastAsia="仿宋_GB2312" w:cs="Times New Roman"/>
          <w:bCs/>
          <w:color w:val="auto"/>
          <w:kern w:val="0"/>
          <w:sz w:val="32"/>
          <w:szCs w:val="32"/>
          <w:highlight w:val="none"/>
          <w:u w:val="none"/>
          <w:shd w:val="clear" w:color="auto" w:fill="auto"/>
          <w:lang w:val="en-US" w:eastAsia="zh-CN" w:bidi="ar-SA"/>
        </w:rPr>
        <w:t>，工勤编2人，</w:t>
      </w: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全额补助事业人员</w:t>
      </w:r>
      <w:r>
        <w:rPr>
          <w:rFonts w:hint="eastAsia" w:eastAsia="仿宋_GB2312" w:cs="Times New Roman"/>
          <w:bCs/>
          <w:color w:val="auto"/>
          <w:kern w:val="0"/>
          <w:sz w:val="32"/>
          <w:szCs w:val="32"/>
          <w:highlight w:val="none"/>
          <w:u w:val="none"/>
          <w:shd w:val="clear" w:color="auto" w:fill="auto"/>
          <w:lang w:val="en-US" w:eastAsia="zh-CN" w:bidi="ar-SA"/>
        </w:rPr>
        <w:t>32</w:t>
      </w: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 xml:space="preserve"> 人</w:t>
      </w:r>
      <w:r>
        <w:rPr>
          <w:rFonts w:hint="eastAsia" w:eastAsia="仿宋_GB2312" w:cs="Times New Roman"/>
          <w:bCs/>
          <w:color w:val="auto"/>
          <w:kern w:val="0"/>
          <w:sz w:val="32"/>
          <w:szCs w:val="32"/>
          <w:highlight w:val="none"/>
          <w:u w:val="none"/>
          <w:shd w:val="clear" w:color="auto" w:fill="auto"/>
          <w:lang w:val="en-US" w:eastAsia="zh-CN" w:bidi="ar-SA"/>
        </w:rPr>
        <w:t>，</w:t>
      </w: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自收自支事业人员10人</w:t>
      </w:r>
      <w:r>
        <w:rPr>
          <w:rFonts w:hint="eastAsia" w:eastAsia="仿宋_GB2312" w:cs="Times New Roman"/>
          <w:bCs/>
          <w:color w:val="auto"/>
          <w:kern w:val="0"/>
          <w:sz w:val="32"/>
          <w:szCs w:val="32"/>
          <w:highlight w:val="none"/>
          <w:u w:val="none"/>
          <w:shd w:val="clear" w:color="auto" w:fill="auto"/>
          <w:lang w:val="en-US" w:eastAsia="zh-CN" w:bidi="ar-SA"/>
        </w:rPr>
        <w:t>，</w:t>
      </w: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离退休人员2</w:t>
      </w:r>
      <w:r>
        <w:rPr>
          <w:rFonts w:hint="eastAsia" w:ascii="Times New Roman" w:hAnsi="Times New Roman" w:eastAsia="仿宋_GB2312" w:cs="Times New Roman"/>
          <w:bCs/>
          <w:color w:val="auto"/>
          <w:kern w:val="0"/>
          <w:sz w:val="32"/>
          <w:szCs w:val="32"/>
          <w:highlight w:val="none"/>
          <w:u w:val="none"/>
          <w:shd w:val="clear" w:color="auto" w:fill="auto"/>
          <w:lang w:val="en-US" w:eastAsia="zh-CN" w:bidi="ar-SA"/>
        </w:rPr>
        <w:t>4</w:t>
      </w: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人。</w:t>
      </w:r>
    </w:p>
    <w:p>
      <w:pPr>
        <w:pStyle w:val="14"/>
        <w:keepNext w:val="0"/>
        <w:keepLines w:val="0"/>
        <w:pageBreakBefore w:val="0"/>
        <w:widowControl w:val="0"/>
        <w:numPr>
          <w:ilvl w:val="0"/>
          <w:numId w:val="0"/>
        </w:numPr>
        <w:shd w:val="clear" w:color="auto" w:fill="auto"/>
        <w:tabs>
          <w:tab w:val="left" w:pos="1580"/>
        </w:tabs>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0"/>
        <w:rPr>
          <w:rFonts w:hint="eastAsia" w:ascii="黑体" w:hAnsi="黑体" w:eastAsia="黑体" w:cs="黑体"/>
          <w:b w:val="0"/>
          <w:bCs w:val="0"/>
          <w:sz w:val="32"/>
          <w:szCs w:val="32"/>
          <w:lang w:val="en-US" w:eastAsia="zh-CN"/>
        </w:rPr>
      </w:pPr>
      <w:bookmarkStart w:id="1" w:name="_Toc28347"/>
      <w:r>
        <w:rPr>
          <w:rFonts w:hint="eastAsia" w:ascii="黑体" w:hAnsi="黑体" w:eastAsia="黑体" w:cs="黑体"/>
          <w:b w:val="0"/>
          <w:bCs w:val="0"/>
          <w:sz w:val="32"/>
          <w:szCs w:val="32"/>
          <w:lang w:val="en-US" w:eastAsia="zh-CN"/>
        </w:rPr>
        <w:t>二、部门预算执行情况</w:t>
      </w:r>
      <w:bookmarkEnd w:id="1"/>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bCs/>
          <w:color w:val="auto"/>
          <w:kern w:val="0"/>
          <w:sz w:val="32"/>
          <w:szCs w:val="32"/>
          <w:highlight w:val="none"/>
          <w:u w:val="none"/>
          <w:shd w:val="clear" w:color="auto" w:fill="auto"/>
          <w:lang w:val="en-US" w:eastAsia="zh-CN" w:bidi="ar-SA"/>
        </w:rPr>
      </w:pPr>
      <w:r>
        <w:rPr>
          <w:rFonts w:hint="eastAsia" w:ascii="Times New Roman" w:hAnsi="Times New Roman" w:eastAsia="仿宋_GB2312" w:cs="Times New Roman"/>
          <w:bCs/>
          <w:color w:val="auto"/>
          <w:kern w:val="0"/>
          <w:sz w:val="32"/>
          <w:szCs w:val="32"/>
          <w:highlight w:val="none"/>
          <w:u w:val="none"/>
          <w:shd w:val="clear" w:color="auto" w:fill="auto"/>
          <w:lang w:val="en-US" w:eastAsia="zh-CN" w:bidi="ar-SA"/>
        </w:rPr>
        <w:t>原市体育局（含下属）2019年度部门预算支出（含追加）</w:t>
      </w: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6,843.54</w:t>
      </w:r>
      <w:r>
        <w:rPr>
          <w:rFonts w:hint="eastAsia" w:ascii="Times New Roman" w:hAnsi="Times New Roman" w:eastAsia="仿宋_GB2312" w:cs="Times New Roman"/>
          <w:bCs/>
          <w:color w:val="auto"/>
          <w:kern w:val="0"/>
          <w:sz w:val="32"/>
          <w:szCs w:val="32"/>
          <w:highlight w:val="none"/>
          <w:u w:val="none"/>
          <w:shd w:val="clear" w:color="auto" w:fill="auto"/>
          <w:lang w:val="en-US" w:eastAsia="zh-CN" w:bidi="ar-SA"/>
        </w:rPr>
        <w:t>万元，实际执行5,179.16万元，完成预算的75.68%。其中基本支出预算1,139.89万元，实际执行1,592.49万元，完成预算的139.71%；项目支出预算5,703.65万元，实际支出3,586.67万元，完成预算的62.88%。明细如下表：</w:t>
      </w:r>
    </w:p>
    <w:tbl>
      <w:tblPr>
        <w:tblStyle w:val="11"/>
        <w:tblW w:w="8553" w:type="dxa"/>
        <w:tblInd w:w="0" w:type="dxa"/>
        <w:tblLayout w:type="autofit"/>
        <w:tblCellMar>
          <w:top w:w="0" w:type="dxa"/>
          <w:left w:w="0" w:type="dxa"/>
          <w:bottom w:w="0" w:type="dxa"/>
          <w:right w:w="0" w:type="dxa"/>
        </w:tblCellMar>
      </w:tblPr>
      <w:tblGrid>
        <w:gridCol w:w="839"/>
        <w:gridCol w:w="540"/>
        <w:gridCol w:w="1888"/>
        <w:gridCol w:w="1221"/>
        <w:gridCol w:w="1485"/>
        <w:gridCol w:w="1410"/>
        <w:gridCol w:w="1170"/>
      </w:tblGrid>
      <w:tr>
        <w:tblPrEx>
          <w:tblCellMar>
            <w:top w:w="0" w:type="dxa"/>
            <w:left w:w="0" w:type="dxa"/>
            <w:bottom w:w="0" w:type="dxa"/>
            <w:right w:w="0" w:type="dxa"/>
          </w:tblCellMar>
        </w:tblPrEx>
        <w:trPr>
          <w:trHeight w:val="485" w:hRule="atLeast"/>
        </w:trPr>
        <w:tc>
          <w:tcPr>
            <w:tcW w:w="1379"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评价部</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门名称</w:t>
            </w:r>
          </w:p>
        </w:tc>
        <w:tc>
          <w:tcPr>
            <w:tcW w:w="31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原宜春市体育局</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下属单位个数</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r>
              <w:rPr>
                <w:rFonts w:hint="eastAsia" w:ascii="宋体" w:hAnsi="宋体" w:eastAsia="宋体" w:cs="宋体"/>
                <w:i w:val="0"/>
                <w:color w:val="000000"/>
                <w:kern w:val="0"/>
                <w:sz w:val="24"/>
                <w:szCs w:val="24"/>
                <w:u w:val="none"/>
                <w:lang w:val="en-US" w:eastAsia="zh-CN" w:bidi="ar"/>
              </w:rPr>
              <w:t xml:space="preserve"> 个</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  注</w:t>
            </w:r>
          </w:p>
        </w:tc>
      </w:tr>
      <w:tr>
        <w:tblPrEx>
          <w:tblCellMar>
            <w:top w:w="0" w:type="dxa"/>
            <w:left w:w="0" w:type="dxa"/>
            <w:bottom w:w="0" w:type="dxa"/>
            <w:right w:w="0" w:type="dxa"/>
          </w:tblCellMar>
        </w:tblPrEx>
        <w:trPr>
          <w:trHeight w:val="510" w:hRule="atLeast"/>
        </w:trPr>
        <w:tc>
          <w:tcPr>
            <w:tcW w:w="137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1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w:t>
            </w:r>
            <w:r>
              <w:rPr>
                <w:rFonts w:hint="eastAsia" w:ascii="宋体" w:hAnsi="宋体" w:cs="宋体"/>
                <w:i w:val="0"/>
                <w:color w:val="000000"/>
                <w:kern w:val="0"/>
                <w:sz w:val="24"/>
                <w:szCs w:val="24"/>
                <w:u w:val="none"/>
                <w:lang w:val="en-US" w:eastAsia="zh-CN" w:bidi="ar"/>
              </w:rPr>
              <w:t>财政拨款</w:t>
            </w:r>
            <w:r>
              <w:rPr>
                <w:rFonts w:hint="eastAsia" w:ascii="宋体" w:hAnsi="宋体" w:eastAsia="宋体" w:cs="宋体"/>
                <w:i w:val="0"/>
                <w:color w:val="000000"/>
                <w:kern w:val="0"/>
                <w:sz w:val="24"/>
                <w:szCs w:val="24"/>
                <w:u w:val="none"/>
                <w:lang w:val="en-US" w:eastAsia="zh-CN" w:bidi="ar"/>
              </w:rPr>
              <w:t>数</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全年执行数</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执行率</w:t>
            </w:r>
          </w:p>
        </w:tc>
        <w:tc>
          <w:tcPr>
            <w:tcW w:w="117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上年结转5</w:t>
            </w:r>
            <w:r>
              <w:rPr>
                <w:rFonts w:hint="eastAsia" w:ascii="Times New Roman" w:hAnsi="Times New Roman" w:cs="Times New Roman"/>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470.33万元，纳入2019年年初预算4</w:t>
            </w:r>
            <w:r>
              <w:rPr>
                <w:rFonts w:hint="eastAsia" w:ascii="Times New Roman" w:hAnsi="Times New Roman" w:cs="Times New Roman"/>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000万元，未纳入1</w:t>
            </w:r>
            <w:r>
              <w:rPr>
                <w:rFonts w:hint="eastAsia" w:ascii="Times New Roman" w:hAnsi="Times New Roman" w:cs="Times New Roman"/>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470.33万元。</w:t>
            </w:r>
          </w:p>
        </w:tc>
      </w:tr>
      <w:tr>
        <w:tblPrEx>
          <w:tblCellMar>
            <w:top w:w="0" w:type="dxa"/>
            <w:left w:w="0" w:type="dxa"/>
            <w:bottom w:w="0" w:type="dxa"/>
            <w:right w:w="0" w:type="dxa"/>
          </w:tblCellMar>
        </w:tblPrEx>
        <w:trPr>
          <w:trHeight w:val="535" w:hRule="atLeast"/>
        </w:trPr>
        <w:tc>
          <w:tcPr>
            <w:tcW w:w="83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部门整体支出规模</w:t>
            </w:r>
          </w:p>
        </w:tc>
        <w:tc>
          <w:tcPr>
            <w:tcW w:w="5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资金来源</w:t>
            </w:r>
          </w:p>
        </w:tc>
        <w:tc>
          <w:tcPr>
            <w:tcW w:w="1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2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6,843.54</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5,179.16</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75.68%</w:t>
            </w:r>
          </w:p>
        </w:tc>
        <w:tc>
          <w:tcPr>
            <w:tcW w:w="117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0" w:hRule="atLeast"/>
        </w:trPr>
        <w:tc>
          <w:tcPr>
            <w:tcW w:w="8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（1）财政拨款</w:t>
            </w:r>
          </w:p>
        </w:tc>
        <w:tc>
          <w:tcPr>
            <w:tcW w:w="12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5,819.99</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4,828.61</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82.97%</w:t>
            </w:r>
          </w:p>
        </w:tc>
        <w:tc>
          <w:tcPr>
            <w:tcW w:w="1170" w:type="dxa"/>
            <w:vMerge w:val="continue"/>
            <w:tcBorders>
              <w:left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490" w:hRule="atLeast"/>
        </w:trPr>
        <w:tc>
          <w:tcPr>
            <w:tcW w:w="8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）其他资金</w:t>
            </w:r>
          </w:p>
        </w:tc>
        <w:tc>
          <w:tcPr>
            <w:tcW w:w="122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1,023.55</w:t>
            </w:r>
          </w:p>
        </w:tc>
        <w:tc>
          <w:tcPr>
            <w:tcW w:w="148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350.55</w:t>
            </w:r>
          </w:p>
        </w:tc>
        <w:tc>
          <w:tcPr>
            <w:tcW w:w="141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34.25%</w:t>
            </w:r>
          </w:p>
        </w:tc>
        <w:tc>
          <w:tcPr>
            <w:tcW w:w="1170" w:type="dxa"/>
            <w:vMerge w:val="continue"/>
            <w:tcBorders>
              <w:left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442" w:hRule="atLeast"/>
        </w:trPr>
        <w:tc>
          <w:tcPr>
            <w:tcW w:w="8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资金结构</w:t>
            </w:r>
          </w:p>
        </w:tc>
        <w:tc>
          <w:tcPr>
            <w:tcW w:w="188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（1）基本支出</w:t>
            </w:r>
          </w:p>
        </w:tc>
        <w:tc>
          <w:tcPr>
            <w:tcW w:w="12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1,139.89</w:t>
            </w:r>
          </w:p>
        </w:tc>
        <w:tc>
          <w:tcPr>
            <w:tcW w:w="14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1,592.49</w:t>
            </w:r>
          </w:p>
        </w:tc>
        <w:tc>
          <w:tcPr>
            <w:tcW w:w="14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139.71%</w:t>
            </w:r>
          </w:p>
        </w:tc>
        <w:tc>
          <w:tcPr>
            <w:tcW w:w="1170" w:type="dxa"/>
            <w:vMerge w:val="continue"/>
            <w:tcBorders>
              <w:left w:val="single" w:color="auto"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559" w:hRule="atLeast"/>
        </w:trPr>
        <w:tc>
          <w:tcPr>
            <w:tcW w:w="8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pPr>
          </w:p>
        </w:tc>
        <w:tc>
          <w:tcPr>
            <w:tcW w:w="5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pPr>
          </w:p>
        </w:tc>
        <w:tc>
          <w:tcPr>
            <w:tcW w:w="188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其中：人员经费</w:t>
            </w:r>
          </w:p>
        </w:tc>
        <w:tc>
          <w:tcPr>
            <w:tcW w:w="12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Times New Roman" w:hAnsi="Times New Roman" w:eastAsia="宋体" w:cs="Times New Roman"/>
                <w:b w:val="0"/>
                <w:bCs w:val="0"/>
                <w:color w:val="auto"/>
                <w:sz w:val="24"/>
                <w:szCs w:val="24"/>
                <w:highlight w:val="none"/>
                <w:lang w:val="en-US" w:eastAsia="zh-CN"/>
              </w:rPr>
              <w:t>1</w:t>
            </w:r>
            <w:r>
              <w:rPr>
                <w:rFonts w:hint="eastAsia" w:cs="Times New Roman"/>
                <w:b w:val="0"/>
                <w:bCs w:val="0"/>
                <w:color w:val="auto"/>
                <w:sz w:val="24"/>
                <w:szCs w:val="24"/>
                <w:highlight w:val="none"/>
                <w:lang w:val="en-US" w:eastAsia="zh-CN"/>
              </w:rPr>
              <w:t>,</w:t>
            </w:r>
            <w:r>
              <w:rPr>
                <w:rFonts w:hint="eastAsia" w:ascii="Times New Roman" w:hAnsi="Times New Roman" w:eastAsia="宋体" w:cs="Times New Roman"/>
                <w:b w:val="0"/>
                <w:bCs w:val="0"/>
                <w:color w:val="auto"/>
                <w:sz w:val="24"/>
                <w:szCs w:val="24"/>
                <w:highlight w:val="none"/>
                <w:lang w:val="en-US" w:eastAsia="zh-CN"/>
              </w:rPr>
              <w:t>056.94</w:t>
            </w:r>
          </w:p>
        </w:tc>
        <w:tc>
          <w:tcPr>
            <w:tcW w:w="14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Times New Roman" w:hAnsi="Times New Roman" w:eastAsia="宋体" w:cs="Times New Roman"/>
                <w:b w:val="0"/>
                <w:bCs w:val="0"/>
                <w:color w:val="auto"/>
                <w:sz w:val="24"/>
                <w:szCs w:val="24"/>
                <w:highlight w:val="none"/>
                <w:lang w:val="en-US" w:eastAsia="zh-CN"/>
              </w:rPr>
              <w:t>1</w:t>
            </w:r>
            <w:r>
              <w:rPr>
                <w:rFonts w:hint="eastAsia" w:cs="Times New Roman"/>
                <w:b w:val="0"/>
                <w:bCs w:val="0"/>
                <w:color w:val="auto"/>
                <w:sz w:val="24"/>
                <w:szCs w:val="24"/>
                <w:highlight w:val="none"/>
                <w:lang w:val="en-US" w:eastAsia="zh-CN"/>
              </w:rPr>
              <w:t>,</w:t>
            </w:r>
            <w:r>
              <w:rPr>
                <w:rFonts w:hint="eastAsia" w:ascii="Times New Roman" w:hAnsi="Times New Roman" w:eastAsia="宋体" w:cs="Times New Roman"/>
                <w:b w:val="0"/>
                <w:bCs w:val="0"/>
                <w:color w:val="auto"/>
                <w:sz w:val="24"/>
                <w:szCs w:val="24"/>
                <w:highlight w:val="none"/>
                <w:lang w:val="en-US" w:eastAsia="zh-CN"/>
              </w:rPr>
              <w:t>370.02</w:t>
            </w:r>
          </w:p>
        </w:tc>
        <w:tc>
          <w:tcPr>
            <w:tcW w:w="14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Times New Roman" w:hAnsi="Times New Roman" w:eastAsia="宋体" w:cs="Times New Roman"/>
                <w:b w:val="0"/>
                <w:bCs w:val="0"/>
                <w:color w:val="auto"/>
                <w:sz w:val="24"/>
                <w:szCs w:val="24"/>
                <w:highlight w:val="none"/>
                <w:lang w:val="en-US" w:eastAsia="zh-CN"/>
              </w:rPr>
              <w:t>129.64%</w:t>
            </w:r>
          </w:p>
        </w:tc>
        <w:tc>
          <w:tcPr>
            <w:tcW w:w="1170" w:type="dxa"/>
            <w:vMerge w:val="continue"/>
            <w:tcBorders>
              <w:left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574" w:hRule="atLeast"/>
        </w:trPr>
        <w:tc>
          <w:tcPr>
            <w:tcW w:w="83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54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88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ind w:firstLine="720" w:firstLineChars="30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公用经费</w:t>
            </w:r>
          </w:p>
        </w:tc>
        <w:tc>
          <w:tcPr>
            <w:tcW w:w="12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Times New Roman" w:hAnsi="Times New Roman" w:eastAsia="宋体" w:cs="Times New Roman"/>
                <w:b w:val="0"/>
                <w:bCs w:val="0"/>
                <w:color w:val="auto"/>
                <w:sz w:val="24"/>
                <w:szCs w:val="24"/>
                <w:highlight w:val="none"/>
                <w:lang w:val="en-US" w:eastAsia="zh-CN"/>
              </w:rPr>
              <w:t>82.95</w:t>
            </w:r>
          </w:p>
        </w:tc>
        <w:tc>
          <w:tcPr>
            <w:tcW w:w="14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Times New Roman" w:hAnsi="Times New Roman" w:eastAsia="宋体" w:cs="Times New Roman"/>
                <w:b w:val="0"/>
                <w:bCs w:val="0"/>
                <w:color w:val="auto"/>
                <w:sz w:val="24"/>
                <w:szCs w:val="24"/>
                <w:highlight w:val="none"/>
                <w:lang w:val="en-US" w:eastAsia="zh-CN"/>
              </w:rPr>
              <w:t>222.47</w:t>
            </w:r>
          </w:p>
        </w:tc>
        <w:tc>
          <w:tcPr>
            <w:tcW w:w="14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Times New Roman" w:hAnsi="Times New Roman" w:eastAsia="宋体" w:cs="Times New Roman"/>
                <w:b w:val="0"/>
                <w:bCs w:val="0"/>
                <w:color w:val="auto"/>
                <w:sz w:val="24"/>
                <w:szCs w:val="24"/>
                <w:highlight w:val="none"/>
                <w:lang w:val="en-US" w:eastAsia="zh-CN"/>
              </w:rPr>
              <w:t>268.20%</w:t>
            </w:r>
          </w:p>
        </w:tc>
        <w:tc>
          <w:tcPr>
            <w:tcW w:w="1170" w:type="dxa"/>
            <w:vMerge w:val="continue"/>
            <w:tcBorders>
              <w:left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620" w:hRule="atLeast"/>
        </w:trPr>
        <w:tc>
          <w:tcPr>
            <w:tcW w:w="8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）项目支出</w:t>
            </w:r>
          </w:p>
        </w:tc>
        <w:tc>
          <w:tcPr>
            <w:tcW w:w="122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5,703.65</w:t>
            </w:r>
          </w:p>
        </w:tc>
        <w:tc>
          <w:tcPr>
            <w:tcW w:w="148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3,586.67</w:t>
            </w:r>
          </w:p>
        </w:tc>
        <w:tc>
          <w:tcPr>
            <w:tcW w:w="141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62.88%</w:t>
            </w:r>
          </w:p>
        </w:tc>
        <w:tc>
          <w:tcPr>
            <w:tcW w:w="117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bCs/>
          <w:color w:val="auto"/>
          <w:kern w:val="0"/>
          <w:sz w:val="32"/>
          <w:szCs w:val="32"/>
          <w:highlight w:val="none"/>
          <w:u w:val="none"/>
          <w:shd w:val="clear" w:color="auto" w:fill="auto"/>
          <w:lang w:val="en-US" w:eastAsia="zh-CN" w:bidi="ar-SA"/>
        </w:rPr>
      </w:pPr>
      <w:r>
        <w:rPr>
          <w:rFonts w:hint="eastAsia" w:ascii="Times New Roman" w:hAnsi="Times New Roman" w:eastAsia="仿宋_GB2312" w:cs="Times New Roman"/>
          <w:bCs/>
          <w:color w:val="auto"/>
          <w:kern w:val="0"/>
          <w:sz w:val="32"/>
          <w:szCs w:val="32"/>
          <w:highlight w:val="none"/>
          <w:u w:val="none"/>
          <w:shd w:val="clear" w:color="auto" w:fill="auto"/>
          <w:lang w:val="en-US" w:eastAsia="zh-CN" w:bidi="ar-SA"/>
        </w:rPr>
        <w:t>影响2019年度部门整体支出的主要原因是：</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Times New Roman"/>
          <w:bCs/>
          <w:color w:val="auto"/>
          <w:kern w:val="0"/>
          <w:sz w:val="32"/>
          <w:szCs w:val="32"/>
          <w:highlight w:val="none"/>
          <w:lang w:val="en-US" w:eastAsia="zh-CN"/>
        </w:rPr>
      </w:pPr>
      <w:r>
        <w:rPr>
          <w:rFonts w:hint="eastAsia" w:ascii="Times New Roman" w:hAnsi="Times New Roman" w:eastAsia="仿宋_GB2312" w:cs="Times New Roman"/>
          <w:bCs/>
          <w:color w:val="auto"/>
          <w:kern w:val="0"/>
          <w:sz w:val="32"/>
          <w:szCs w:val="32"/>
          <w:highlight w:val="none"/>
          <w:lang w:val="en-US" w:eastAsia="zh-CN"/>
        </w:rPr>
        <w:t>①</w:t>
      </w:r>
      <w:r>
        <w:rPr>
          <w:rFonts w:hint="eastAsia" w:eastAsia="仿宋_GB2312" w:cs="Times New Roman"/>
          <w:bCs/>
          <w:color w:val="auto"/>
          <w:kern w:val="0"/>
          <w:sz w:val="32"/>
          <w:szCs w:val="32"/>
          <w:highlight w:val="none"/>
          <w:lang w:val="en-US" w:eastAsia="zh-CN"/>
        </w:rPr>
        <w:t>人员经费</w:t>
      </w:r>
      <w:r>
        <w:rPr>
          <w:rFonts w:hint="eastAsia" w:ascii="Times New Roman" w:hAnsi="Times New Roman" w:eastAsia="仿宋_GB2312" w:cs="Times New Roman"/>
          <w:bCs/>
          <w:color w:val="auto"/>
          <w:kern w:val="0"/>
          <w:sz w:val="32"/>
          <w:szCs w:val="32"/>
          <w:highlight w:val="none"/>
          <w:lang w:val="en-US" w:eastAsia="zh-CN"/>
        </w:rPr>
        <w:t>预算安排1,056.94万元，实际执行1,370.02万元，</w:t>
      </w:r>
      <w:r>
        <w:rPr>
          <w:rFonts w:hint="eastAsia" w:eastAsia="仿宋_GB2312" w:cs="Times New Roman"/>
          <w:bCs/>
          <w:color w:val="auto"/>
          <w:kern w:val="0"/>
          <w:sz w:val="32"/>
          <w:szCs w:val="32"/>
          <w:highlight w:val="none"/>
          <w:lang w:val="en-US" w:eastAsia="zh-CN"/>
        </w:rPr>
        <w:t>完成</w:t>
      </w:r>
      <w:r>
        <w:rPr>
          <w:rFonts w:hint="eastAsia" w:ascii="Times New Roman" w:hAnsi="Times New Roman" w:eastAsia="仿宋_GB2312" w:cs="Times New Roman"/>
          <w:bCs/>
          <w:color w:val="auto"/>
          <w:kern w:val="0"/>
          <w:sz w:val="32"/>
          <w:szCs w:val="32"/>
          <w:highlight w:val="none"/>
          <w:lang w:val="en-US" w:eastAsia="zh-CN"/>
        </w:rPr>
        <w:t>预算</w:t>
      </w:r>
      <w:r>
        <w:rPr>
          <w:rFonts w:hint="eastAsia" w:eastAsia="仿宋_GB2312" w:cs="Times New Roman"/>
          <w:bCs/>
          <w:color w:val="auto"/>
          <w:kern w:val="0"/>
          <w:sz w:val="32"/>
          <w:szCs w:val="32"/>
          <w:highlight w:val="none"/>
          <w:lang w:val="en-US" w:eastAsia="zh-CN"/>
        </w:rPr>
        <w:t>的129.64%</w:t>
      </w:r>
      <w:r>
        <w:rPr>
          <w:rFonts w:hint="eastAsia" w:ascii="Times New Roman" w:hAnsi="Times New Roman" w:eastAsia="仿宋_GB2312" w:cs="Times New Roman"/>
          <w:bCs/>
          <w:color w:val="auto"/>
          <w:kern w:val="0"/>
          <w:sz w:val="32"/>
          <w:szCs w:val="32"/>
          <w:highlight w:val="none"/>
          <w:lang w:val="en-US" w:eastAsia="zh-CN"/>
        </w:rPr>
        <w:t>。</w:t>
      </w:r>
      <w:r>
        <w:rPr>
          <w:rFonts w:hint="eastAsia" w:eastAsia="仿宋_GB2312" w:cs="Times New Roman"/>
          <w:bCs/>
          <w:color w:val="auto"/>
          <w:kern w:val="0"/>
          <w:sz w:val="32"/>
          <w:szCs w:val="32"/>
          <w:highlight w:val="none"/>
          <w:lang w:val="en-US" w:eastAsia="zh-CN"/>
        </w:rPr>
        <w:t>影响人员经费预算支出</w:t>
      </w:r>
      <w:r>
        <w:rPr>
          <w:rFonts w:hint="eastAsia" w:ascii="Times New Roman" w:hAnsi="Times New Roman" w:eastAsia="仿宋_GB2312" w:cs="Times New Roman"/>
          <w:bCs/>
          <w:color w:val="auto"/>
          <w:kern w:val="0"/>
          <w:sz w:val="32"/>
          <w:szCs w:val="32"/>
          <w:highlight w:val="none"/>
          <w:lang w:val="en-US" w:eastAsia="zh-CN"/>
        </w:rPr>
        <w:t>主要原因是</w:t>
      </w:r>
      <w:r>
        <w:rPr>
          <w:rFonts w:hint="eastAsia" w:eastAsia="仿宋_GB2312" w:cs="Times New Roman"/>
          <w:bCs/>
          <w:color w:val="auto"/>
          <w:kern w:val="0"/>
          <w:sz w:val="32"/>
          <w:szCs w:val="32"/>
          <w:highlight w:val="none"/>
          <w:lang w:val="en-US" w:eastAsia="zh-CN"/>
        </w:rPr>
        <w:t>部门</w:t>
      </w:r>
      <w:r>
        <w:rPr>
          <w:rFonts w:hint="eastAsia" w:ascii="Times New Roman" w:hAnsi="Times New Roman" w:eastAsia="仿宋_GB2312" w:cs="Times New Roman"/>
          <w:bCs/>
          <w:color w:val="auto"/>
          <w:kern w:val="0"/>
          <w:sz w:val="32"/>
          <w:szCs w:val="32"/>
          <w:highlight w:val="none"/>
          <w:lang w:val="en-US" w:eastAsia="zh-CN"/>
        </w:rPr>
        <w:t>奖励支出</w:t>
      </w:r>
      <w:r>
        <w:rPr>
          <w:rFonts w:hint="eastAsia" w:eastAsia="仿宋_GB2312" w:cs="Times New Roman"/>
          <w:bCs/>
          <w:color w:val="auto"/>
          <w:kern w:val="0"/>
          <w:sz w:val="32"/>
          <w:szCs w:val="32"/>
          <w:highlight w:val="none"/>
          <w:lang w:val="en-US" w:eastAsia="zh-CN"/>
        </w:rPr>
        <w:t>超预算</w:t>
      </w:r>
      <w:r>
        <w:rPr>
          <w:rFonts w:hint="eastAsia" w:ascii="Times New Roman" w:hAnsi="Times New Roman" w:eastAsia="仿宋_GB2312" w:cs="Times New Roman"/>
          <w:bCs/>
          <w:color w:val="auto"/>
          <w:kern w:val="0"/>
          <w:sz w:val="32"/>
          <w:szCs w:val="32"/>
          <w:highlight w:val="none"/>
          <w:lang w:val="en-US" w:eastAsia="zh-CN"/>
        </w:rPr>
        <w:t>。2019年预算安排部门奖励支出25.61万元，实际支出336.67万元</w:t>
      </w:r>
      <w:r>
        <w:rPr>
          <w:rFonts w:hint="eastAsia" w:eastAsia="仿宋_GB2312" w:cs="Times New Roman"/>
          <w:bCs/>
          <w:color w:val="auto"/>
          <w:kern w:val="0"/>
          <w:sz w:val="32"/>
          <w:szCs w:val="32"/>
          <w:highlight w:val="none"/>
          <w:lang w:val="en-US" w:eastAsia="zh-CN"/>
        </w:rPr>
        <w:t>，实际支出是预算支出的13.14倍</w:t>
      </w:r>
      <w:r>
        <w:rPr>
          <w:rFonts w:hint="eastAsia" w:ascii="Times New Roman" w:hAnsi="Times New Roman" w:eastAsia="仿宋_GB2312" w:cs="Times New Roman"/>
          <w:bCs/>
          <w:color w:val="auto"/>
          <w:kern w:val="0"/>
          <w:sz w:val="32"/>
          <w:szCs w:val="32"/>
          <w:highlight w:val="none"/>
          <w:lang w:val="en-US" w:eastAsia="zh-CN"/>
        </w:rPr>
        <w:t>。扣除该因素，2019年原市体育局实际人员经费支出为1</w:t>
      </w:r>
      <w:r>
        <w:rPr>
          <w:rFonts w:hint="eastAsia" w:eastAsia="仿宋_GB2312" w:cs="Times New Roman"/>
          <w:bCs/>
          <w:color w:val="auto"/>
          <w:kern w:val="0"/>
          <w:sz w:val="32"/>
          <w:szCs w:val="32"/>
          <w:highlight w:val="none"/>
          <w:lang w:val="en-US" w:eastAsia="zh-CN"/>
        </w:rPr>
        <w:t>,</w:t>
      </w:r>
      <w:r>
        <w:rPr>
          <w:rFonts w:hint="eastAsia" w:ascii="Times New Roman" w:hAnsi="Times New Roman" w:eastAsia="仿宋_GB2312" w:cs="Times New Roman"/>
          <w:bCs/>
          <w:color w:val="auto"/>
          <w:kern w:val="0"/>
          <w:sz w:val="32"/>
          <w:szCs w:val="32"/>
          <w:highlight w:val="none"/>
          <w:lang w:val="en-US" w:eastAsia="zh-CN"/>
        </w:rPr>
        <w:t>033万元，完成预算1</w:t>
      </w:r>
      <w:r>
        <w:rPr>
          <w:rFonts w:hint="eastAsia" w:eastAsia="仿宋_GB2312" w:cs="Times New Roman"/>
          <w:bCs/>
          <w:color w:val="auto"/>
          <w:kern w:val="0"/>
          <w:sz w:val="32"/>
          <w:szCs w:val="32"/>
          <w:highlight w:val="none"/>
          <w:lang w:val="en-US" w:eastAsia="zh-CN"/>
        </w:rPr>
        <w:t>,</w:t>
      </w:r>
      <w:r>
        <w:rPr>
          <w:rFonts w:hint="eastAsia" w:ascii="Times New Roman" w:hAnsi="Times New Roman" w:eastAsia="仿宋_GB2312" w:cs="Times New Roman"/>
          <w:bCs/>
          <w:color w:val="auto"/>
          <w:kern w:val="0"/>
          <w:sz w:val="32"/>
          <w:szCs w:val="32"/>
          <w:highlight w:val="none"/>
          <w:lang w:val="en-US" w:eastAsia="zh-CN"/>
        </w:rPr>
        <w:t>056.94万元的97.75%。</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Times New Roman"/>
          <w:bCs/>
          <w:color w:val="auto"/>
          <w:kern w:val="0"/>
          <w:sz w:val="32"/>
          <w:szCs w:val="32"/>
          <w:highlight w:val="none"/>
          <w:lang w:val="en-US" w:eastAsia="zh-CN"/>
        </w:rPr>
      </w:pPr>
      <w:r>
        <w:rPr>
          <w:rFonts w:hint="eastAsia" w:ascii="Times New Roman" w:hAnsi="Times New Roman" w:eastAsia="仿宋_GB2312" w:cs="Times New Roman"/>
          <w:bCs/>
          <w:color w:val="auto"/>
          <w:kern w:val="0"/>
          <w:sz w:val="32"/>
          <w:szCs w:val="32"/>
          <w:highlight w:val="none"/>
          <w:lang w:val="en-US" w:eastAsia="zh-CN"/>
        </w:rPr>
        <w:t>②公用经费预算安排82.95万元，实际执行222.47万元，预算执行率268.20%，主要原因是市少年体校将下拨给水上基地的经费102.4</w:t>
      </w:r>
      <w:r>
        <w:rPr>
          <w:rFonts w:hint="eastAsia" w:eastAsia="仿宋_GB2312" w:cs="Times New Roman"/>
          <w:bCs/>
          <w:color w:val="auto"/>
          <w:kern w:val="0"/>
          <w:sz w:val="32"/>
          <w:szCs w:val="32"/>
          <w:highlight w:val="none"/>
          <w:lang w:val="en-US" w:eastAsia="zh-CN"/>
        </w:rPr>
        <w:t>0</w:t>
      </w:r>
      <w:r>
        <w:rPr>
          <w:rFonts w:hint="eastAsia" w:ascii="Times New Roman" w:hAnsi="Times New Roman" w:eastAsia="仿宋_GB2312" w:cs="Times New Roman"/>
          <w:bCs/>
          <w:color w:val="auto"/>
          <w:kern w:val="0"/>
          <w:sz w:val="32"/>
          <w:szCs w:val="32"/>
          <w:highlight w:val="none"/>
          <w:lang w:val="en-US" w:eastAsia="zh-CN"/>
        </w:rPr>
        <w:t>万元，</w:t>
      </w:r>
      <w:r>
        <w:rPr>
          <w:rFonts w:hint="eastAsia" w:eastAsia="仿宋_GB2312" w:cs="Times New Roman"/>
          <w:bCs/>
          <w:color w:val="auto"/>
          <w:kern w:val="0"/>
          <w:sz w:val="32"/>
          <w:szCs w:val="32"/>
          <w:highlight w:val="none"/>
          <w:lang w:val="en-US" w:eastAsia="zh-CN"/>
        </w:rPr>
        <w:t>在“基本支出—专用材料及委托业务费”项目中列支；</w:t>
      </w:r>
      <w:r>
        <w:rPr>
          <w:rFonts w:hint="eastAsia" w:ascii="Times New Roman" w:hAnsi="Times New Roman" w:eastAsia="仿宋_GB2312" w:cs="Times New Roman"/>
          <w:bCs/>
          <w:color w:val="auto"/>
          <w:kern w:val="0"/>
          <w:sz w:val="32"/>
          <w:szCs w:val="32"/>
          <w:highlight w:val="none"/>
          <w:lang w:val="en-US" w:eastAsia="zh-CN"/>
        </w:rPr>
        <w:t>2018年超支的公</w:t>
      </w:r>
      <w:r>
        <w:rPr>
          <w:rFonts w:hint="eastAsia" w:eastAsia="仿宋_GB2312" w:cs="Times New Roman"/>
          <w:bCs/>
          <w:color w:val="auto"/>
          <w:kern w:val="0"/>
          <w:sz w:val="32"/>
          <w:szCs w:val="32"/>
          <w:highlight w:val="none"/>
          <w:lang w:val="en-US" w:eastAsia="zh-CN"/>
        </w:rPr>
        <w:t>用</w:t>
      </w:r>
      <w:r>
        <w:rPr>
          <w:rFonts w:hint="eastAsia" w:ascii="Times New Roman" w:hAnsi="Times New Roman" w:eastAsia="仿宋_GB2312" w:cs="Times New Roman"/>
          <w:bCs/>
          <w:color w:val="auto"/>
          <w:kern w:val="0"/>
          <w:sz w:val="32"/>
          <w:szCs w:val="32"/>
          <w:highlight w:val="none"/>
          <w:lang w:val="en-US" w:eastAsia="zh-CN"/>
        </w:rPr>
        <w:t>经费</w:t>
      </w:r>
      <w:r>
        <w:rPr>
          <w:rFonts w:hint="eastAsia" w:eastAsia="仿宋_GB2312" w:cs="Times New Roman"/>
          <w:bCs/>
          <w:color w:val="auto"/>
          <w:kern w:val="0"/>
          <w:sz w:val="32"/>
          <w:szCs w:val="32"/>
          <w:highlight w:val="none"/>
          <w:lang w:val="en-US" w:eastAsia="zh-CN"/>
        </w:rPr>
        <w:t>37.25万元在</w:t>
      </w:r>
      <w:r>
        <w:rPr>
          <w:rFonts w:hint="eastAsia" w:ascii="Times New Roman" w:hAnsi="Times New Roman" w:eastAsia="仿宋_GB2312" w:cs="Times New Roman"/>
          <w:bCs/>
          <w:color w:val="auto"/>
          <w:kern w:val="0"/>
          <w:sz w:val="32"/>
          <w:szCs w:val="32"/>
          <w:highlight w:val="none"/>
          <w:lang w:val="en-US" w:eastAsia="zh-CN"/>
        </w:rPr>
        <w:t>2019年“基本支出</w:t>
      </w:r>
      <w:r>
        <w:rPr>
          <w:rFonts w:hint="eastAsia" w:eastAsia="仿宋_GB2312" w:cs="Times New Roman"/>
          <w:bCs/>
          <w:color w:val="auto"/>
          <w:kern w:val="0"/>
          <w:sz w:val="32"/>
          <w:szCs w:val="32"/>
          <w:highlight w:val="none"/>
          <w:lang w:val="en-US" w:eastAsia="zh-CN"/>
        </w:rPr>
        <w:t>—</w:t>
      </w:r>
      <w:r>
        <w:rPr>
          <w:rFonts w:hint="eastAsia" w:ascii="Times New Roman" w:hAnsi="Times New Roman" w:eastAsia="仿宋_GB2312" w:cs="Times New Roman"/>
          <w:bCs/>
          <w:color w:val="auto"/>
          <w:kern w:val="0"/>
          <w:sz w:val="32"/>
          <w:szCs w:val="32"/>
          <w:highlight w:val="none"/>
          <w:lang w:val="en-US" w:eastAsia="zh-CN"/>
        </w:rPr>
        <w:t>专用材料及业务委托费”项目</w:t>
      </w:r>
      <w:r>
        <w:rPr>
          <w:rFonts w:hint="eastAsia" w:eastAsia="仿宋_GB2312" w:cs="Times New Roman"/>
          <w:bCs/>
          <w:color w:val="auto"/>
          <w:kern w:val="0"/>
          <w:sz w:val="32"/>
          <w:szCs w:val="32"/>
          <w:highlight w:val="none"/>
          <w:lang w:val="en-US" w:eastAsia="zh-CN"/>
        </w:rPr>
        <w:t>中</w:t>
      </w:r>
      <w:r>
        <w:rPr>
          <w:rFonts w:hint="eastAsia" w:ascii="Times New Roman" w:hAnsi="Times New Roman" w:eastAsia="仿宋_GB2312" w:cs="Times New Roman"/>
          <w:bCs/>
          <w:color w:val="auto"/>
          <w:kern w:val="0"/>
          <w:sz w:val="32"/>
          <w:szCs w:val="32"/>
          <w:highlight w:val="none"/>
          <w:lang w:val="en-US" w:eastAsia="zh-CN"/>
        </w:rPr>
        <w:t>列支。扣除该</w:t>
      </w:r>
      <w:r>
        <w:rPr>
          <w:rFonts w:hint="eastAsia" w:eastAsia="仿宋_GB2312" w:cs="Times New Roman"/>
          <w:bCs/>
          <w:color w:val="auto"/>
          <w:kern w:val="0"/>
          <w:sz w:val="32"/>
          <w:szCs w:val="32"/>
          <w:highlight w:val="none"/>
          <w:lang w:val="en-US" w:eastAsia="zh-CN"/>
        </w:rPr>
        <w:t>两个</w:t>
      </w:r>
      <w:r>
        <w:rPr>
          <w:rFonts w:hint="eastAsia" w:ascii="Times New Roman" w:hAnsi="Times New Roman" w:eastAsia="仿宋_GB2312" w:cs="Times New Roman"/>
          <w:bCs/>
          <w:color w:val="auto"/>
          <w:kern w:val="0"/>
          <w:sz w:val="32"/>
          <w:szCs w:val="32"/>
          <w:highlight w:val="none"/>
          <w:lang w:val="en-US" w:eastAsia="zh-CN"/>
        </w:rPr>
        <w:t>因素，2019年原市体育局实际公用经费支出为82.82万元，完成预算的82.95万元的99.84%。</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bCs/>
          <w:color w:val="auto"/>
          <w:kern w:val="0"/>
          <w:sz w:val="32"/>
          <w:szCs w:val="32"/>
          <w:highlight w:val="none"/>
          <w:u w:val="none"/>
          <w:shd w:val="clear" w:color="auto" w:fill="auto"/>
          <w:lang w:val="en-US" w:eastAsia="zh-CN" w:bidi="ar-SA"/>
        </w:rPr>
      </w:pPr>
      <w:r>
        <w:rPr>
          <w:rFonts w:hint="eastAsia" w:ascii="Times New Roman" w:hAnsi="Times New Roman" w:eastAsia="仿宋_GB2312" w:cs="Times New Roman"/>
          <w:bCs/>
          <w:color w:val="auto"/>
          <w:kern w:val="0"/>
          <w:sz w:val="32"/>
          <w:szCs w:val="32"/>
          <w:highlight w:val="none"/>
          <w:lang w:val="en-US" w:eastAsia="zh-CN"/>
        </w:rPr>
        <w:t>③项目支出预算安排5,703.65万元，实际执行3,586.67万元，预算执行率62.88%。主要原因是“三校合一”异地新建项目、运动游园项目建设进度缓慢。其中运动游园项目仅完成预算18.17%（产出数量完成42%）；“三校合一”异地新建项目完成预算的60.62%；丰城广场运动游园项目完成</w:t>
      </w:r>
      <w:r>
        <w:rPr>
          <w:rFonts w:hint="default" w:ascii="Times New Roman" w:hAnsi="Times New Roman" w:eastAsia="仿宋_GB2312" w:cs="Times New Roman"/>
          <w:bCs/>
          <w:color w:val="auto"/>
          <w:kern w:val="0"/>
          <w:sz w:val="32"/>
          <w:szCs w:val="32"/>
          <w:highlight w:val="none"/>
          <w:lang w:val="en-US" w:eastAsia="zh-CN"/>
        </w:rPr>
        <w:t>65%</w:t>
      </w:r>
      <w:r>
        <w:rPr>
          <w:rFonts w:hint="eastAsia" w:ascii="Times New Roman" w:hAnsi="Times New Roman" w:eastAsia="仿宋_GB2312" w:cs="Times New Roman"/>
          <w:bCs/>
          <w:color w:val="auto"/>
          <w:kern w:val="0"/>
          <w:sz w:val="32"/>
          <w:szCs w:val="32"/>
          <w:highlight w:val="none"/>
          <w:lang w:val="en-US" w:eastAsia="zh-CN"/>
        </w:rPr>
        <w:t>。</w:t>
      </w:r>
    </w:p>
    <w:p>
      <w:pPr>
        <w:pStyle w:val="14"/>
        <w:keepNext w:val="0"/>
        <w:keepLines w:val="0"/>
        <w:pageBreakBefore w:val="0"/>
        <w:widowControl w:val="0"/>
        <w:numPr>
          <w:ilvl w:val="0"/>
          <w:numId w:val="0"/>
        </w:numPr>
        <w:shd w:val="clear" w:color="auto" w:fill="auto"/>
        <w:tabs>
          <w:tab w:val="left" w:pos="1580"/>
        </w:tabs>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0"/>
        <w:rPr>
          <w:rFonts w:hint="eastAsia" w:ascii="黑体" w:hAnsi="黑体" w:eastAsia="黑体" w:cs="黑体"/>
          <w:b w:val="0"/>
          <w:bCs w:val="0"/>
          <w:sz w:val="32"/>
          <w:szCs w:val="32"/>
          <w:lang w:val="en-US" w:eastAsia="zh-CN"/>
        </w:rPr>
      </w:pPr>
      <w:bookmarkStart w:id="2" w:name="_Toc28943"/>
      <w:r>
        <w:rPr>
          <w:rFonts w:hint="eastAsia" w:ascii="黑体" w:hAnsi="黑体" w:eastAsia="黑体" w:cs="黑体"/>
          <w:b w:val="0"/>
          <w:bCs w:val="0"/>
          <w:sz w:val="32"/>
          <w:szCs w:val="32"/>
          <w:lang w:val="en-US" w:eastAsia="zh-CN"/>
        </w:rPr>
        <w:t>三、评价结果</w:t>
      </w:r>
      <w:bookmarkEnd w:id="2"/>
      <w:r>
        <w:rPr>
          <w:rFonts w:hint="eastAsia" w:ascii="黑体" w:hAnsi="黑体" w:eastAsia="黑体" w:cs="黑体"/>
          <w:b w:val="0"/>
          <w:bCs w:val="0"/>
          <w:sz w:val="32"/>
          <w:szCs w:val="32"/>
          <w:lang w:val="en-US" w:eastAsia="zh-CN"/>
        </w:rPr>
        <w:tab/>
      </w:r>
      <w:r>
        <w:rPr>
          <w:rFonts w:hint="eastAsia" w:ascii="黑体" w:hAnsi="黑体" w:eastAsia="黑体" w:cs="黑体"/>
          <w:b w:val="0"/>
          <w:bCs w:val="0"/>
          <w:sz w:val="32"/>
          <w:szCs w:val="32"/>
          <w:lang w:val="en-US" w:eastAsia="zh-CN"/>
        </w:rPr>
        <w:tab/>
      </w:r>
      <w:r>
        <w:rPr>
          <w:rFonts w:hint="eastAsia" w:ascii="黑体" w:hAnsi="黑体" w:eastAsia="黑体" w:cs="黑体"/>
          <w:b w:val="0"/>
          <w:bCs w:val="0"/>
          <w:sz w:val="32"/>
          <w:szCs w:val="32"/>
          <w:lang w:val="en-US" w:eastAsia="zh-CN"/>
        </w:rPr>
        <w:tab/>
      </w:r>
      <w:r>
        <w:rPr>
          <w:rFonts w:hint="eastAsia" w:ascii="黑体" w:hAnsi="黑体" w:eastAsia="黑体" w:cs="黑体"/>
          <w:b w:val="0"/>
          <w:bCs w:val="0"/>
          <w:sz w:val="32"/>
          <w:szCs w:val="32"/>
          <w:lang w:val="en-US" w:eastAsia="zh-CN"/>
        </w:rPr>
        <w:tab/>
      </w:r>
      <w:r>
        <w:rPr>
          <w:rFonts w:hint="eastAsia" w:ascii="黑体" w:hAnsi="黑体" w:eastAsia="黑体" w:cs="黑体"/>
          <w:b w:val="0"/>
          <w:bCs w:val="0"/>
          <w:sz w:val="32"/>
          <w:szCs w:val="32"/>
          <w:lang w:val="en-US" w:eastAsia="zh-CN"/>
        </w:rPr>
        <w:tab/>
      </w:r>
      <w:r>
        <w:rPr>
          <w:rFonts w:hint="eastAsia" w:ascii="黑体" w:hAnsi="黑体" w:eastAsia="黑体" w:cs="黑体"/>
          <w:b w:val="0"/>
          <w:bCs w:val="0"/>
          <w:sz w:val="32"/>
          <w:szCs w:val="32"/>
          <w:lang w:val="en-US" w:eastAsia="zh-CN"/>
        </w:rPr>
        <w:tab/>
      </w:r>
      <w:r>
        <w:rPr>
          <w:rFonts w:hint="eastAsia" w:ascii="黑体" w:hAnsi="黑体" w:eastAsia="黑体" w:cs="黑体"/>
          <w:b w:val="0"/>
          <w:bCs w:val="0"/>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pP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评价组在原宜春市体育局自我评价的基础上，通过进一步收集部门（含下属）整体运行有关数据和资料，并开展实地核查、重点抽查和问卷调查等方式，经过汇总、整理、分析和计算，对照本次财政重点绩效评价设定的评价指标体系和评分标准逐项进行评价打分，汇总打分结果：2019年度原宜春市体育局部门整体支出财政重点绩效评价总得分79.60分，评价等级为“中”。</w:t>
      </w:r>
    </w:p>
    <w:p>
      <w:pPr>
        <w:pStyle w:val="14"/>
        <w:keepNext w:val="0"/>
        <w:keepLines w:val="0"/>
        <w:pageBreakBefore w:val="0"/>
        <w:widowControl w:val="0"/>
        <w:numPr>
          <w:ilvl w:val="0"/>
          <w:numId w:val="0"/>
        </w:numPr>
        <w:shd w:val="clear" w:color="auto" w:fill="auto"/>
        <w:tabs>
          <w:tab w:val="left" w:pos="1580"/>
        </w:tabs>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 </w:t>
      </w:r>
      <w:bookmarkStart w:id="3" w:name="_Toc4365"/>
      <w:r>
        <w:rPr>
          <w:rFonts w:hint="eastAsia" w:ascii="黑体" w:hAnsi="黑体" w:eastAsia="黑体" w:cs="黑体"/>
          <w:b w:val="0"/>
          <w:bCs w:val="0"/>
          <w:sz w:val="32"/>
          <w:szCs w:val="32"/>
          <w:lang w:val="en-US" w:eastAsia="zh-CN"/>
        </w:rPr>
        <w:t>四、存在的问题</w:t>
      </w:r>
      <w:bookmarkEnd w:id="3"/>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hint="default" w:ascii="楷体_GB2312" w:hAnsi="楷体_GB2312" w:eastAsia="楷体_GB2312" w:cs="楷体_GB2312"/>
          <w:bCs/>
          <w:color w:val="auto"/>
          <w:kern w:val="0"/>
          <w:sz w:val="32"/>
          <w:szCs w:val="32"/>
          <w:highlight w:val="none"/>
          <w:u w:val="none"/>
          <w:shd w:val="clear" w:color="auto" w:fill="auto"/>
          <w:lang w:val="en-US" w:eastAsia="zh-CN" w:bidi="ar-SA"/>
        </w:rPr>
      </w:pPr>
      <w:bookmarkStart w:id="4" w:name="_Toc29331"/>
      <w:r>
        <w:rPr>
          <w:rFonts w:hint="default" w:ascii="楷体_GB2312" w:hAnsi="楷体_GB2312" w:eastAsia="楷体_GB2312" w:cs="楷体_GB2312"/>
          <w:bCs/>
          <w:color w:val="auto"/>
          <w:kern w:val="0"/>
          <w:sz w:val="32"/>
          <w:szCs w:val="32"/>
          <w:highlight w:val="none"/>
          <w:u w:val="none"/>
          <w:shd w:val="clear" w:color="auto" w:fill="auto"/>
          <w:lang w:val="en-US" w:eastAsia="zh-CN" w:bidi="ar-SA"/>
        </w:rPr>
        <w:t>（一）预算编制及绩效管理方面</w:t>
      </w:r>
      <w:bookmarkEnd w:id="4"/>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pP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1. 未编制本部门2019年整体支出绩效目标；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pP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2. 上年有1,470.33万元未纳入2019年年初财政预算；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pP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3. 2019年末结余结转资金3,232.74 万元，结存数额较大。影响年末资金结转结余的主要原因是项目支出预算5,703.65万元，实际支出3,586.67万元，仅完成预算的62.88%。</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hint="eastAsia" w:ascii="楷体_GB2312" w:hAnsi="楷体_GB2312" w:eastAsia="楷体_GB2312" w:cs="楷体_GB2312"/>
          <w:bCs/>
          <w:color w:val="auto"/>
          <w:kern w:val="0"/>
          <w:sz w:val="32"/>
          <w:szCs w:val="32"/>
          <w:highlight w:val="none"/>
          <w:u w:val="none"/>
          <w:shd w:val="clear" w:color="auto" w:fill="auto"/>
          <w:lang w:val="en-US" w:eastAsia="zh-CN" w:bidi="ar-SA"/>
        </w:rPr>
      </w:pPr>
      <w:bookmarkStart w:id="5" w:name="_Toc9777"/>
      <w:r>
        <w:rPr>
          <w:rFonts w:hint="default" w:ascii="楷体_GB2312" w:hAnsi="楷体_GB2312" w:eastAsia="楷体_GB2312" w:cs="楷体_GB2312"/>
          <w:bCs/>
          <w:color w:val="auto"/>
          <w:kern w:val="0"/>
          <w:sz w:val="32"/>
          <w:szCs w:val="32"/>
          <w:highlight w:val="none"/>
          <w:u w:val="none"/>
          <w:shd w:val="clear" w:color="auto" w:fill="auto"/>
          <w:lang w:val="en-US" w:eastAsia="zh-CN" w:bidi="ar-SA"/>
        </w:rPr>
        <w:t>（二）预算执行方面</w:t>
      </w:r>
      <w:bookmarkEnd w:id="5"/>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pP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1. 预算执行率较低。2019年部门预算支出6,843.54万元，实际完成5,179.16万元，完成率75.68%，其中项目支出完成62.88%。项目支出完成率低，是影响部门整体预算支出完成的主要原因。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pP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2. 决算报表列报有误。2019年市少年体校将下拨给水上基地的经费102.4万元，2018年超支的公用经费37.25万元转为2019年列支，两项合计139.65万元在2019年“基本支出-专用材料及业务委托费”科目列支，导致2019年部门“公用经费”支出控制率高达268.20%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hint="default" w:ascii="楷体_GB2312" w:hAnsi="楷体_GB2312" w:eastAsia="楷体_GB2312" w:cs="楷体_GB2312"/>
          <w:bCs/>
          <w:color w:val="auto"/>
          <w:kern w:val="0"/>
          <w:sz w:val="32"/>
          <w:szCs w:val="32"/>
          <w:highlight w:val="none"/>
          <w:u w:val="none"/>
          <w:shd w:val="clear" w:color="auto" w:fill="auto"/>
          <w:lang w:val="en-US" w:eastAsia="zh-CN" w:bidi="ar-SA"/>
        </w:rPr>
      </w:pPr>
      <w:bookmarkStart w:id="6" w:name="_Toc27826"/>
      <w:r>
        <w:rPr>
          <w:rFonts w:hint="default" w:ascii="楷体_GB2312" w:hAnsi="楷体_GB2312" w:eastAsia="楷体_GB2312" w:cs="楷体_GB2312"/>
          <w:bCs/>
          <w:color w:val="auto"/>
          <w:kern w:val="0"/>
          <w:sz w:val="32"/>
          <w:szCs w:val="32"/>
          <w:highlight w:val="none"/>
          <w:u w:val="none"/>
          <w:shd w:val="clear" w:color="auto" w:fill="auto"/>
          <w:lang w:val="en-US" w:eastAsia="zh-CN" w:bidi="ar-SA"/>
        </w:rPr>
        <w:t>（三）专款专用方面</w:t>
      </w:r>
      <w:bookmarkEnd w:id="6"/>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pP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局本级2019年彩票公益金专项资金列支职工奖金、养老保险金等人员经费支出211.13万元，列支差旅费、工会经费等公用经费115.32万元，专项资金未做到专款专用。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hint="eastAsia" w:ascii="楷体_GB2312" w:hAnsi="楷体_GB2312" w:eastAsia="楷体_GB2312" w:cs="楷体_GB2312"/>
          <w:bCs/>
          <w:color w:val="auto"/>
          <w:kern w:val="0"/>
          <w:sz w:val="32"/>
          <w:szCs w:val="32"/>
          <w:highlight w:val="none"/>
          <w:u w:val="none"/>
          <w:shd w:val="clear" w:color="auto" w:fill="auto"/>
          <w:lang w:val="en-US" w:eastAsia="zh-CN" w:bidi="ar-SA"/>
        </w:rPr>
      </w:pPr>
      <w:bookmarkStart w:id="7" w:name="_Toc30544"/>
      <w:r>
        <w:rPr>
          <w:rFonts w:hint="default" w:ascii="楷体_GB2312" w:hAnsi="楷体_GB2312" w:eastAsia="楷体_GB2312" w:cs="楷体_GB2312"/>
          <w:bCs/>
          <w:color w:val="auto"/>
          <w:kern w:val="0"/>
          <w:sz w:val="32"/>
          <w:szCs w:val="32"/>
          <w:highlight w:val="none"/>
          <w:u w:val="none"/>
          <w:shd w:val="clear" w:color="auto" w:fill="auto"/>
          <w:lang w:val="en-US" w:eastAsia="zh-CN" w:bidi="ar-SA"/>
        </w:rPr>
        <w:t>(四）重大项目建设方面</w:t>
      </w:r>
      <w:bookmarkEnd w:id="7"/>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pP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1. 运动游园项目建设进度缓慢。2019年运动游园建设项目计划安排新建3个，升级改造2个，实际完成新建、改造项目各1个，另一个完成10%。预算安排建设资金559万元，实际执行102万元，仅完成预算的18.37%。</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pP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2. 省拨丰城广场智慧运动游园，预算100万元，要求应在项目资金下达1年内完成。截止2019年12月31日，已完成第一期投资65万元，第二期（智慧健身设施）才完成招投标，项目进度同样缓慢。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bCs/>
          <w:color w:val="auto"/>
          <w:kern w:val="0"/>
          <w:sz w:val="32"/>
          <w:szCs w:val="32"/>
          <w:highlight w:val="none"/>
          <w:u w:val="none"/>
          <w:shd w:val="clear" w:color="auto" w:fill="auto"/>
          <w:lang w:val="en-US" w:eastAsia="zh-CN" w:bidi="ar-SA"/>
        </w:rPr>
      </w:pP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3. “三校合一”异地新建项目，不能按期交付使用。因现少年体校、水上运动基地资产整体拍卖转让至今未实施，导致建设资金未全部落实到位，影响第二期装修装饰工程招投标，异地新建项目，不能按期交付使用</w:t>
      </w:r>
      <w:r>
        <w:rPr>
          <w:rFonts w:hint="eastAsia" w:ascii="Times New Roman" w:hAnsi="Times New Roman" w:eastAsia="仿宋_GB2312" w:cs="Times New Roman"/>
          <w:bCs/>
          <w:color w:val="auto"/>
          <w:kern w:val="0"/>
          <w:sz w:val="32"/>
          <w:szCs w:val="32"/>
          <w:highlight w:val="none"/>
          <w:u w:val="none"/>
          <w:shd w:val="clear" w:color="auto" w:fill="auto"/>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hint="eastAsia" w:ascii="楷体_GB2312" w:hAnsi="楷体_GB2312" w:eastAsia="楷体_GB2312" w:cs="楷体_GB2312"/>
          <w:bCs/>
          <w:color w:val="auto"/>
          <w:kern w:val="0"/>
          <w:sz w:val="32"/>
          <w:szCs w:val="32"/>
          <w:highlight w:val="none"/>
          <w:u w:val="none"/>
          <w:shd w:val="clear" w:color="auto" w:fill="auto"/>
          <w:lang w:val="en-US" w:eastAsia="zh-CN" w:bidi="ar-SA"/>
        </w:rPr>
      </w:pPr>
      <w:bookmarkStart w:id="8" w:name="_Toc30342"/>
      <w:r>
        <w:rPr>
          <w:rFonts w:hint="default" w:ascii="楷体_GB2312" w:hAnsi="楷体_GB2312" w:eastAsia="楷体_GB2312" w:cs="楷体_GB2312"/>
          <w:bCs/>
          <w:color w:val="auto"/>
          <w:kern w:val="0"/>
          <w:sz w:val="32"/>
          <w:szCs w:val="32"/>
          <w:highlight w:val="none"/>
          <w:u w:val="none"/>
          <w:shd w:val="clear" w:color="auto" w:fill="auto"/>
          <w:lang w:val="en-US" w:eastAsia="zh-CN" w:bidi="ar-SA"/>
        </w:rPr>
        <w:t>（五）资产管理方面</w:t>
      </w:r>
      <w:r>
        <w:rPr>
          <w:rFonts w:hint="eastAsia" w:ascii="楷体_GB2312" w:hAnsi="楷体_GB2312" w:eastAsia="楷体_GB2312" w:cs="楷体_GB2312"/>
          <w:bCs/>
          <w:color w:val="auto"/>
          <w:kern w:val="0"/>
          <w:sz w:val="32"/>
          <w:szCs w:val="32"/>
          <w:highlight w:val="none"/>
          <w:u w:val="none"/>
          <w:shd w:val="clear" w:color="auto" w:fill="auto"/>
          <w:lang w:val="en-US" w:eastAsia="zh-CN" w:bidi="ar-SA"/>
        </w:rPr>
        <w:t>：</w:t>
      </w:r>
      <w:bookmarkEnd w:id="8"/>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pP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1. 市老年体协办公室，账面反映小车两部，其中一部已提足折旧并停用多年，但一直未申请报废并进行账务处理。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pP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2. 市水上基地，账面反映公务用车一辆，已提足折旧。2019年市水上基地发生的车辆运行维护费41,740.50元但却在市少年体校列支。车辆产权单位（水上基地）与费用列支单位（少年体校）不一致。</w:t>
      </w:r>
    </w:p>
    <w:p>
      <w:pPr>
        <w:pStyle w:val="14"/>
        <w:keepNext w:val="0"/>
        <w:keepLines w:val="0"/>
        <w:pageBreakBefore w:val="0"/>
        <w:widowControl w:val="0"/>
        <w:numPr>
          <w:ilvl w:val="0"/>
          <w:numId w:val="0"/>
        </w:numPr>
        <w:shd w:val="clear" w:color="auto" w:fill="auto"/>
        <w:tabs>
          <w:tab w:val="left" w:pos="1580"/>
        </w:tabs>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0"/>
        <w:rPr>
          <w:rFonts w:hint="default" w:ascii="黑体" w:hAnsi="黑体" w:eastAsia="黑体" w:cs="黑体"/>
          <w:b w:val="0"/>
          <w:bCs w:val="0"/>
          <w:sz w:val="32"/>
          <w:szCs w:val="32"/>
          <w:lang w:val="en-US" w:eastAsia="zh-CN"/>
        </w:rPr>
      </w:pPr>
      <w:bookmarkStart w:id="9" w:name="_Toc12128"/>
      <w:r>
        <w:rPr>
          <w:rFonts w:hint="eastAsia" w:ascii="黑体" w:hAnsi="黑体" w:eastAsia="黑体" w:cs="黑体"/>
          <w:b w:val="0"/>
          <w:bCs w:val="0"/>
          <w:sz w:val="32"/>
          <w:szCs w:val="32"/>
          <w:lang w:val="en-US" w:eastAsia="zh-CN"/>
        </w:rPr>
        <w:t>五</w:t>
      </w:r>
      <w:r>
        <w:rPr>
          <w:rFonts w:hint="default" w:ascii="黑体" w:hAnsi="黑体" w:eastAsia="黑体" w:cs="黑体"/>
          <w:b w:val="0"/>
          <w:bCs w:val="0"/>
          <w:sz w:val="32"/>
          <w:szCs w:val="32"/>
          <w:lang w:val="en-US" w:eastAsia="zh-CN"/>
        </w:rPr>
        <w:t>、有关建议</w:t>
      </w:r>
      <w:bookmarkEnd w:id="9"/>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楷体_GB2312" w:hAnsi="楷体_GB2312" w:eastAsia="楷体_GB2312" w:cs="楷体_GB2312"/>
          <w:bCs/>
          <w:color w:val="auto"/>
          <w:kern w:val="0"/>
          <w:sz w:val="32"/>
          <w:szCs w:val="32"/>
          <w:highlight w:val="none"/>
          <w:u w:val="none"/>
          <w:shd w:val="clear" w:color="auto" w:fill="auto"/>
          <w:lang w:val="en-US" w:eastAsia="zh-CN" w:bidi="ar-SA"/>
        </w:rPr>
      </w:pPr>
      <w:r>
        <w:rPr>
          <w:rFonts w:hint="default" w:ascii="楷体_GB2312" w:hAnsi="楷体_GB2312" w:eastAsia="楷体_GB2312" w:cs="楷体_GB2312"/>
          <w:bCs/>
          <w:color w:val="auto"/>
          <w:kern w:val="0"/>
          <w:sz w:val="32"/>
          <w:szCs w:val="32"/>
          <w:highlight w:val="none"/>
          <w:u w:val="none"/>
          <w:shd w:val="clear" w:color="auto" w:fill="auto"/>
          <w:lang w:val="en-US" w:eastAsia="zh-CN" w:bidi="ar-SA"/>
        </w:rPr>
        <w:t>（一）加强部门预算编制及部门绩效管理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pP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1. 准确估计年末项目资金结余，为编制下年度预算提供准确依据。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pP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2. 年末资金结余，应全部纳入下一年度财政预算，防止成为部门“自留地”。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pP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3. 编制本部门（含下属单位）财政预算时，应同时编制、申报部门（单位）绩效目标报财政部门审批，以强化绩效目标管理，同时为绩效评价提供目标依据。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楷体_GB2312" w:hAnsi="楷体_GB2312" w:eastAsia="楷体_GB2312" w:cs="楷体_GB2312"/>
          <w:bCs/>
          <w:color w:val="auto"/>
          <w:kern w:val="0"/>
          <w:sz w:val="32"/>
          <w:szCs w:val="32"/>
          <w:highlight w:val="none"/>
          <w:u w:val="none"/>
          <w:shd w:val="clear" w:color="auto" w:fill="auto"/>
          <w:lang w:val="en-US" w:eastAsia="zh-CN" w:bidi="ar-SA"/>
        </w:rPr>
      </w:pPr>
      <w:r>
        <w:rPr>
          <w:rFonts w:hint="default" w:ascii="楷体_GB2312" w:hAnsi="楷体_GB2312" w:eastAsia="楷体_GB2312" w:cs="楷体_GB2312"/>
          <w:bCs/>
          <w:color w:val="auto"/>
          <w:kern w:val="0"/>
          <w:sz w:val="32"/>
          <w:szCs w:val="32"/>
          <w:highlight w:val="none"/>
          <w:u w:val="none"/>
          <w:shd w:val="clear" w:color="auto" w:fill="auto"/>
          <w:lang w:val="en-US" w:eastAsia="zh-CN" w:bidi="ar-SA"/>
        </w:rPr>
        <w:t>（二）加强项目资金使用管理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pP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1. 项目资金应单独核算、专款专用、不应挪作他用，防止基本支出挤占项目资金。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pP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2. 对未安排的预算支出（如职工奖励支出），应积极向有关部门申请拨付。在未批准之前，不得挤占项目资金，违反预算资金管理规定。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楷体_GB2312" w:hAnsi="楷体_GB2312" w:eastAsia="楷体_GB2312" w:cs="楷体_GB2312"/>
          <w:bCs/>
          <w:color w:val="auto"/>
          <w:kern w:val="0"/>
          <w:sz w:val="32"/>
          <w:szCs w:val="32"/>
          <w:highlight w:val="none"/>
          <w:u w:val="none"/>
          <w:shd w:val="clear" w:color="auto" w:fill="auto"/>
          <w:lang w:val="en-US" w:eastAsia="zh-CN" w:bidi="ar-SA"/>
        </w:rPr>
      </w:pPr>
      <w:r>
        <w:rPr>
          <w:rFonts w:hint="default" w:ascii="楷体_GB2312" w:hAnsi="楷体_GB2312" w:eastAsia="楷体_GB2312" w:cs="楷体_GB2312"/>
          <w:bCs/>
          <w:color w:val="auto"/>
          <w:kern w:val="0"/>
          <w:sz w:val="32"/>
          <w:szCs w:val="32"/>
          <w:highlight w:val="none"/>
          <w:u w:val="none"/>
          <w:shd w:val="clear" w:color="auto" w:fill="auto"/>
          <w:lang w:val="en-US" w:eastAsia="zh-CN" w:bidi="ar-SA"/>
        </w:rPr>
        <w:t>（三）努力提高资金使用效率。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pPr>
      <w:bookmarkStart w:id="10" w:name="_Toc26189"/>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1. 加强项目资金预算执行管理。</w:t>
      </w:r>
      <w:bookmarkEnd w:id="10"/>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pP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三校合一”异地新建、运动游园、群众体育及彩票公益金安排的项目应是本部门重点建设项目，部门应抓紧抓好。尤其是对资金有结余、项目进度又缓慢的项目，应指派专人抓项目进度，建立定期检查、督促制度，努力提高预算资金执行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pPr>
      <w:bookmarkStart w:id="11" w:name="_Toc20041"/>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2. 努力降低年末结余资金比例，提高资金使用效率。</w:t>
      </w:r>
      <w:bookmarkEnd w:id="11"/>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Cs/>
          <w:color w:val="auto"/>
          <w:kern w:val="0"/>
          <w:sz w:val="32"/>
          <w:szCs w:val="32"/>
          <w:highlight w:val="none"/>
          <w:u w:val="none"/>
          <w:shd w:val="clear" w:color="auto" w:fill="auto"/>
          <w:lang w:val="en-US" w:eastAsia="zh-CN" w:bidi="ar-SA"/>
        </w:rPr>
      </w:pPr>
      <w:r>
        <w:rPr>
          <w:rFonts w:hint="eastAsia" w:ascii="楷体_GB2312" w:hAnsi="楷体_GB2312" w:eastAsia="楷体_GB2312" w:cs="楷体_GB2312"/>
          <w:bCs/>
          <w:color w:val="auto"/>
          <w:kern w:val="0"/>
          <w:sz w:val="32"/>
          <w:szCs w:val="32"/>
          <w:highlight w:val="none"/>
          <w:u w:val="none"/>
          <w:shd w:val="clear" w:color="auto" w:fill="auto"/>
          <w:lang w:val="en-US" w:eastAsia="zh-CN" w:bidi="ar-SA"/>
        </w:rPr>
        <w:t>（四）加强固定资产管理，建立健全固定资产定期清理盘查制度，做到账账、账实相符。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pP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1. 对市少年体校，水上基地固定资产较多的单位，应建立定期清查制度，对长期存在账实不符的固定资产，应及时进行报批处理。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pPr>
      <w:r>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t>2. 市老年体协办公室停用多年的车辆，已提足折旧，无账面价值（净值），应按规定及时报批处理。市水上基地与少年体校，车辆权属与费用列支单位不一致的问题，应尽快理顺。少年体校与水上基地经费转拨问题，建议一方列经费支出，另一方作暂收暂付处理，以免预算资金收支重复列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Cs/>
          <w:color w:val="auto"/>
          <w:kern w:val="0"/>
          <w:sz w:val="32"/>
          <w:szCs w:val="32"/>
          <w:highlight w:val="none"/>
          <w:u w:val="none"/>
          <w:shd w:val="clear" w:color="auto" w:fill="auto"/>
          <w:lang w:val="en-US" w:eastAsia="zh-CN" w:bidi="ar-SA"/>
        </w:rPr>
      </w:pPr>
    </w:p>
    <w:p>
      <w:pPr>
        <w:spacing w:line="520" w:lineRule="exact"/>
        <w:ind w:right="210"/>
        <w:jc w:val="both"/>
        <w:rPr>
          <w:rFonts w:hint="eastAsia" w:ascii="方正小标宋简体" w:hAnsi="方正小标宋简体" w:eastAsia="方正小标宋简体" w:cs="方正小标宋简体"/>
          <w:bCs/>
          <w:color w:val="auto"/>
          <w:sz w:val="44"/>
          <w:szCs w:val="44"/>
          <w:highlight w:val="none"/>
          <w:lang w:eastAsia="zh-CN"/>
        </w:rPr>
      </w:pPr>
      <w:bookmarkStart w:id="12" w:name="_GoBack"/>
      <w:bookmarkEnd w:id="12"/>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outlineLvl w:val="0"/>
        <w:rPr>
          <w:rFonts w:hint="default" w:ascii="Times New Roman" w:hAnsi="Times New Roman" w:eastAsia="仿宋_GB2312" w:cs="Times New Roman"/>
          <w:bCs/>
          <w:color w:val="auto"/>
          <w:sz w:val="32"/>
          <w:szCs w:val="32"/>
          <w:highlight w:val="none"/>
        </w:rPr>
      </w:pPr>
    </w:p>
    <w:sectPr>
      <w:headerReference r:id="rId3" w:type="default"/>
      <w:footerReference r:id="rId4" w:type="default"/>
      <w:pgSz w:w="11906" w:h="16838"/>
      <w:pgMar w:top="1440" w:right="1803" w:bottom="1440" w:left="1803" w:header="851" w:footer="850"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-104140</wp:posOffset>
              </wp:positionV>
              <wp:extent cx="1295400" cy="244475"/>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295400" cy="244475"/>
                      </a:xfrm>
                      <a:prstGeom prst="rect">
                        <a:avLst/>
                      </a:prstGeom>
                      <a:noFill/>
                      <a:ln>
                        <a:noFill/>
                      </a:ln>
                    </wps:spPr>
                    <wps:txbx>
                      <w:txbxContent>
                        <w:p>
                          <w:pPr>
                            <w:pStyle w:val="6"/>
                            <w:jc w:val="center"/>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lIns="0" tIns="0" rIns="0" bIns="0" upright="0"/>
                  </wps:wsp>
                </a:graphicData>
              </a:graphic>
            </wp:anchor>
          </w:drawing>
        </mc:Choice>
        <mc:Fallback>
          <w:pict>
            <v:shape id="文本框 1025" o:spid="_x0000_s1026" o:spt="202" type="#_x0000_t202" style="position:absolute;left:0pt;margin-top:-8.2pt;height:19.25pt;width:102pt;mso-position-horizontal:center;mso-position-horizontal-relative:margin;z-index:251661312;mso-width-relative:page;mso-height-relative:page;" filled="f" stroked="f" coordsize="21600,21600" o:gfxdata="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Ehuhc1gAAAAcBAAAPAAAAAAAAAAEAIAAAACIAAABkcnMvZG93bnJldi54bWxQSwEC&#10;FAAUAAAACACHTuJAtdPKMb0BAAB1AwAADgAAAAAAAAABACAAAAAlAQAAZHJzL2Uyb0RvYy54bWxQ&#10;SwUGAAAAAAYABgBZAQAAVAUAAAAA&#10;">
              <v:fill on="f" focussize="0,0"/>
              <v:stroke on="f"/>
              <v:imagedata o:title=""/>
              <o:lock v:ext="edit" aspectratio="f"/>
              <v:textbox inset="0mm,0mm,0mm,0mm">
                <w:txbxContent>
                  <w:p>
                    <w:pPr>
                      <w:pStyle w:val="6"/>
                      <w:jc w:val="center"/>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tabs>
        <w:tab w:val="left" w:pos="1823"/>
        <w:tab w:val="center" w:pos="4223"/>
      </w:tabs>
      <w:jc w:val="left"/>
      <w:rPr>
        <w:rFonts w:hint="eastAsia" w:ascii="仿宋" w:hAnsi="仿宋" w:eastAsia="仿宋" w:cs="仿宋"/>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40"/>
    <w:rsid w:val="00006716"/>
    <w:rsid w:val="00022E0F"/>
    <w:rsid w:val="0004370A"/>
    <w:rsid w:val="00067C30"/>
    <w:rsid w:val="00074CB0"/>
    <w:rsid w:val="000A0C21"/>
    <w:rsid w:val="000C12CD"/>
    <w:rsid w:val="00100AFC"/>
    <w:rsid w:val="00103494"/>
    <w:rsid w:val="0010586E"/>
    <w:rsid w:val="0011254E"/>
    <w:rsid w:val="001216F7"/>
    <w:rsid w:val="00135F02"/>
    <w:rsid w:val="00140447"/>
    <w:rsid w:val="001404A8"/>
    <w:rsid w:val="0015645E"/>
    <w:rsid w:val="001637EB"/>
    <w:rsid w:val="0018338F"/>
    <w:rsid w:val="00197EFF"/>
    <w:rsid w:val="001A14D0"/>
    <w:rsid w:val="001B3B0F"/>
    <w:rsid w:val="001D3A1A"/>
    <w:rsid w:val="001D71B6"/>
    <w:rsid w:val="00203D6C"/>
    <w:rsid w:val="0020525B"/>
    <w:rsid w:val="00210C1C"/>
    <w:rsid w:val="0022575D"/>
    <w:rsid w:val="0024466C"/>
    <w:rsid w:val="002C0ACF"/>
    <w:rsid w:val="00304146"/>
    <w:rsid w:val="00306ADF"/>
    <w:rsid w:val="003159EB"/>
    <w:rsid w:val="0035041D"/>
    <w:rsid w:val="00352A9E"/>
    <w:rsid w:val="003530B5"/>
    <w:rsid w:val="00376C15"/>
    <w:rsid w:val="003823AA"/>
    <w:rsid w:val="003848D9"/>
    <w:rsid w:val="00393D19"/>
    <w:rsid w:val="003A172B"/>
    <w:rsid w:val="003C134C"/>
    <w:rsid w:val="004571AE"/>
    <w:rsid w:val="00465855"/>
    <w:rsid w:val="00477D75"/>
    <w:rsid w:val="0048342D"/>
    <w:rsid w:val="004C0B86"/>
    <w:rsid w:val="004D033D"/>
    <w:rsid w:val="004E1210"/>
    <w:rsid w:val="00527893"/>
    <w:rsid w:val="00545D4E"/>
    <w:rsid w:val="00571250"/>
    <w:rsid w:val="00577E18"/>
    <w:rsid w:val="00591076"/>
    <w:rsid w:val="005937E2"/>
    <w:rsid w:val="005A7D5A"/>
    <w:rsid w:val="005D7A07"/>
    <w:rsid w:val="005E147A"/>
    <w:rsid w:val="005E508C"/>
    <w:rsid w:val="005E66E8"/>
    <w:rsid w:val="005E6E04"/>
    <w:rsid w:val="005F2F18"/>
    <w:rsid w:val="0062314F"/>
    <w:rsid w:val="00642F40"/>
    <w:rsid w:val="00654255"/>
    <w:rsid w:val="00671AA3"/>
    <w:rsid w:val="0069766D"/>
    <w:rsid w:val="006C2A7B"/>
    <w:rsid w:val="006E3A17"/>
    <w:rsid w:val="006E4EDC"/>
    <w:rsid w:val="00797437"/>
    <w:rsid w:val="007B34B2"/>
    <w:rsid w:val="007C18C7"/>
    <w:rsid w:val="007D2298"/>
    <w:rsid w:val="007D5FD4"/>
    <w:rsid w:val="007F14E8"/>
    <w:rsid w:val="007F19D2"/>
    <w:rsid w:val="00822C55"/>
    <w:rsid w:val="00832951"/>
    <w:rsid w:val="008546B9"/>
    <w:rsid w:val="00891574"/>
    <w:rsid w:val="008A61D7"/>
    <w:rsid w:val="008C7A72"/>
    <w:rsid w:val="008D4F62"/>
    <w:rsid w:val="008E3AF2"/>
    <w:rsid w:val="008F4C00"/>
    <w:rsid w:val="008F7CD5"/>
    <w:rsid w:val="00900461"/>
    <w:rsid w:val="0091546C"/>
    <w:rsid w:val="00934234"/>
    <w:rsid w:val="00961F7F"/>
    <w:rsid w:val="0096695D"/>
    <w:rsid w:val="009754D3"/>
    <w:rsid w:val="00981817"/>
    <w:rsid w:val="00991FEC"/>
    <w:rsid w:val="00992DEF"/>
    <w:rsid w:val="00997053"/>
    <w:rsid w:val="009970C4"/>
    <w:rsid w:val="009A0648"/>
    <w:rsid w:val="00A2052E"/>
    <w:rsid w:val="00A2745E"/>
    <w:rsid w:val="00A3241A"/>
    <w:rsid w:val="00A42A69"/>
    <w:rsid w:val="00A719AA"/>
    <w:rsid w:val="00A87F67"/>
    <w:rsid w:val="00A9606D"/>
    <w:rsid w:val="00A978E5"/>
    <w:rsid w:val="00AF4CE0"/>
    <w:rsid w:val="00B132B4"/>
    <w:rsid w:val="00B163AA"/>
    <w:rsid w:val="00B47B09"/>
    <w:rsid w:val="00B77303"/>
    <w:rsid w:val="00BB3EA0"/>
    <w:rsid w:val="00BD01B2"/>
    <w:rsid w:val="00C10CD8"/>
    <w:rsid w:val="00C11984"/>
    <w:rsid w:val="00C226C4"/>
    <w:rsid w:val="00C4077D"/>
    <w:rsid w:val="00C501C7"/>
    <w:rsid w:val="00C603CB"/>
    <w:rsid w:val="00C653A0"/>
    <w:rsid w:val="00C71DBB"/>
    <w:rsid w:val="00C82765"/>
    <w:rsid w:val="00CA308E"/>
    <w:rsid w:val="00CE09BF"/>
    <w:rsid w:val="00CE4678"/>
    <w:rsid w:val="00D24BF8"/>
    <w:rsid w:val="00D43615"/>
    <w:rsid w:val="00D52ACC"/>
    <w:rsid w:val="00D55103"/>
    <w:rsid w:val="00D8381E"/>
    <w:rsid w:val="00D86940"/>
    <w:rsid w:val="00D90937"/>
    <w:rsid w:val="00DE1A9C"/>
    <w:rsid w:val="00DF0847"/>
    <w:rsid w:val="00E34141"/>
    <w:rsid w:val="00E35815"/>
    <w:rsid w:val="00E35E8D"/>
    <w:rsid w:val="00E44413"/>
    <w:rsid w:val="00E70700"/>
    <w:rsid w:val="00E7077D"/>
    <w:rsid w:val="00EC0DA2"/>
    <w:rsid w:val="00EC6EEF"/>
    <w:rsid w:val="00EE26B8"/>
    <w:rsid w:val="00EF0C37"/>
    <w:rsid w:val="00EF35A7"/>
    <w:rsid w:val="00F15D16"/>
    <w:rsid w:val="00F25970"/>
    <w:rsid w:val="00F3027C"/>
    <w:rsid w:val="00F55444"/>
    <w:rsid w:val="00F665EC"/>
    <w:rsid w:val="00FA25B7"/>
    <w:rsid w:val="00FA52CE"/>
    <w:rsid w:val="00FA6C1A"/>
    <w:rsid w:val="00FD38E1"/>
    <w:rsid w:val="00FD6F48"/>
    <w:rsid w:val="00FF11BE"/>
    <w:rsid w:val="01817CAB"/>
    <w:rsid w:val="018A1D84"/>
    <w:rsid w:val="023B2664"/>
    <w:rsid w:val="0375429B"/>
    <w:rsid w:val="039D779A"/>
    <w:rsid w:val="03A76D2F"/>
    <w:rsid w:val="03D25C25"/>
    <w:rsid w:val="0423673E"/>
    <w:rsid w:val="047300CF"/>
    <w:rsid w:val="04A878B8"/>
    <w:rsid w:val="05241F94"/>
    <w:rsid w:val="053C2D1B"/>
    <w:rsid w:val="05D8685B"/>
    <w:rsid w:val="060F6A3E"/>
    <w:rsid w:val="08277602"/>
    <w:rsid w:val="090925F6"/>
    <w:rsid w:val="09897017"/>
    <w:rsid w:val="0A1E481D"/>
    <w:rsid w:val="0C5566C3"/>
    <w:rsid w:val="0D0A3987"/>
    <w:rsid w:val="0DE17BDE"/>
    <w:rsid w:val="1195550E"/>
    <w:rsid w:val="119855F3"/>
    <w:rsid w:val="11C1239A"/>
    <w:rsid w:val="12EF1A7E"/>
    <w:rsid w:val="12FD178F"/>
    <w:rsid w:val="132E4168"/>
    <w:rsid w:val="13325A5A"/>
    <w:rsid w:val="14806EF9"/>
    <w:rsid w:val="14CB4CE5"/>
    <w:rsid w:val="14CE56D9"/>
    <w:rsid w:val="15537337"/>
    <w:rsid w:val="18BD36B4"/>
    <w:rsid w:val="1A722C85"/>
    <w:rsid w:val="1AB81A4E"/>
    <w:rsid w:val="1B5F1434"/>
    <w:rsid w:val="1EC3369E"/>
    <w:rsid w:val="20357748"/>
    <w:rsid w:val="21036571"/>
    <w:rsid w:val="21B8419D"/>
    <w:rsid w:val="22087F37"/>
    <w:rsid w:val="22C95FC7"/>
    <w:rsid w:val="233633B3"/>
    <w:rsid w:val="235224A4"/>
    <w:rsid w:val="235F6580"/>
    <w:rsid w:val="241C151E"/>
    <w:rsid w:val="242B08D9"/>
    <w:rsid w:val="24385523"/>
    <w:rsid w:val="253D46C9"/>
    <w:rsid w:val="25D920C9"/>
    <w:rsid w:val="262C5021"/>
    <w:rsid w:val="271A6CFE"/>
    <w:rsid w:val="273C40AC"/>
    <w:rsid w:val="274B4D5C"/>
    <w:rsid w:val="280E5BDD"/>
    <w:rsid w:val="285A695E"/>
    <w:rsid w:val="2AE53DD8"/>
    <w:rsid w:val="2BA26C1B"/>
    <w:rsid w:val="2C167292"/>
    <w:rsid w:val="2C3A7293"/>
    <w:rsid w:val="2D5B7A23"/>
    <w:rsid w:val="2F3B1C0D"/>
    <w:rsid w:val="2FB43679"/>
    <w:rsid w:val="31151673"/>
    <w:rsid w:val="336E1FC7"/>
    <w:rsid w:val="33AD760C"/>
    <w:rsid w:val="33B1135A"/>
    <w:rsid w:val="33B560CD"/>
    <w:rsid w:val="34910E59"/>
    <w:rsid w:val="359432F9"/>
    <w:rsid w:val="364C3DA3"/>
    <w:rsid w:val="382E7850"/>
    <w:rsid w:val="39B83099"/>
    <w:rsid w:val="39BA7464"/>
    <w:rsid w:val="3A3427CE"/>
    <w:rsid w:val="3AAB7997"/>
    <w:rsid w:val="3CCD08A2"/>
    <w:rsid w:val="3D0844C6"/>
    <w:rsid w:val="3D0D4A6A"/>
    <w:rsid w:val="3E1A1A4A"/>
    <w:rsid w:val="3ED372AE"/>
    <w:rsid w:val="3F407CEF"/>
    <w:rsid w:val="403460AF"/>
    <w:rsid w:val="40AB3B14"/>
    <w:rsid w:val="40AE0BC2"/>
    <w:rsid w:val="418E0A31"/>
    <w:rsid w:val="42F435B7"/>
    <w:rsid w:val="442C7E43"/>
    <w:rsid w:val="444B1E93"/>
    <w:rsid w:val="4492094F"/>
    <w:rsid w:val="45205F22"/>
    <w:rsid w:val="458E7D0E"/>
    <w:rsid w:val="46135FE3"/>
    <w:rsid w:val="46724082"/>
    <w:rsid w:val="46C6689A"/>
    <w:rsid w:val="46D5735F"/>
    <w:rsid w:val="483170C2"/>
    <w:rsid w:val="486056F9"/>
    <w:rsid w:val="487B7433"/>
    <w:rsid w:val="49662976"/>
    <w:rsid w:val="49AA7C81"/>
    <w:rsid w:val="49B55D06"/>
    <w:rsid w:val="4A9F510E"/>
    <w:rsid w:val="4AB777BE"/>
    <w:rsid w:val="4AF96A2C"/>
    <w:rsid w:val="4C746529"/>
    <w:rsid w:val="4F31477C"/>
    <w:rsid w:val="4F321A04"/>
    <w:rsid w:val="4F550C4B"/>
    <w:rsid w:val="4F8468C0"/>
    <w:rsid w:val="506F3127"/>
    <w:rsid w:val="50C2774E"/>
    <w:rsid w:val="50FC2920"/>
    <w:rsid w:val="51162531"/>
    <w:rsid w:val="517C41A5"/>
    <w:rsid w:val="54B27B73"/>
    <w:rsid w:val="557F2552"/>
    <w:rsid w:val="55D20F10"/>
    <w:rsid w:val="58146427"/>
    <w:rsid w:val="582348BB"/>
    <w:rsid w:val="588A7F59"/>
    <w:rsid w:val="588F7169"/>
    <w:rsid w:val="5948357A"/>
    <w:rsid w:val="597D02C2"/>
    <w:rsid w:val="5994159A"/>
    <w:rsid w:val="5A46458D"/>
    <w:rsid w:val="5B6C52A9"/>
    <w:rsid w:val="5D821891"/>
    <w:rsid w:val="5DF435F2"/>
    <w:rsid w:val="5E4D76AC"/>
    <w:rsid w:val="5E5D704B"/>
    <w:rsid w:val="5E9E0DB0"/>
    <w:rsid w:val="5EC636FC"/>
    <w:rsid w:val="5FFC7E0F"/>
    <w:rsid w:val="62072E0E"/>
    <w:rsid w:val="622D6D74"/>
    <w:rsid w:val="6304308B"/>
    <w:rsid w:val="63125C01"/>
    <w:rsid w:val="633304C3"/>
    <w:rsid w:val="66047858"/>
    <w:rsid w:val="66B02C6F"/>
    <w:rsid w:val="66F413BA"/>
    <w:rsid w:val="68544492"/>
    <w:rsid w:val="68BB46A2"/>
    <w:rsid w:val="68EB2E85"/>
    <w:rsid w:val="694E4366"/>
    <w:rsid w:val="69985757"/>
    <w:rsid w:val="69B13DDD"/>
    <w:rsid w:val="69D2310C"/>
    <w:rsid w:val="6B2172AD"/>
    <w:rsid w:val="6B2D2F41"/>
    <w:rsid w:val="6B8F2A4E"/>
    <w:rsid w:val="6CAD6193"/>
    <w:rsid w:val="6DFF43E3"/>
    <w:rsid w:val="6E30430B"/>
    <w:rsid w:val="6E5C6910"/>
    <w:rsid w:val="6F0573EB"/>
    <w:rsid w:val="70941DF3"/>
    <w:rsid w:val="716179BC"/>
    <w:rsid w:val="7203692A"/>
    <w:rsid w:val="724E7C5C"/>
    <w:rsid w:val="73E53896"/>
    <w:rsid w:val="743D581B"/>
    <w:rsid w:val="753178A9"/>
    <w:rsid w:val="7561322D"/>
    <w:rsid w:val="75C82B62"/>
    <w:rsid w:val="7762070F"/>
    <w:rsid w:val="78722D36"/>
    <w:rsid w:val="78960213"/>
    <w:rsid w:val="79AE248C"/>
    <w:rsid w:val="7AB74A2D"/>
    <w:rsid w:val="7AED525F"/>
    <w:rsid w:val="7AF16B40"/>
    <w:rsid w:val="7B4A1BA6"/>
    <w:rsid w:val="7B6352F3"/>
    <w:rsid w:val="7E163B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link w:val="16"/>
    <w:qFormat/>
    <w:uiPriority w:val="0"/>
    <w:pPr>
      <w:adjustRightInd w:val="0"/>
      <w:snapToGrid w:val="0"/>
      <w:spacing w:line="560" w:lineRule="atLeast"/>
      <w:ind w:firstLine="640" w:firstLineChars="200"/>
    </w:pPr>
    <w:rPr>
      <w:rFonts w:ascii="仿宋_GB2312" w:eastAsia="仿宋_GB2312"/>
      <w:kern w:val="0"/>
      <w:sz w:val="32"/>
      <w:szCs w:val="28"/>
    </w:rPr>
  </w:style>
  <w:style w:type="paragraph" w:styleId="4">
    <w:name w:val="annotation text"/>
    <w:basedOn w:val="1"/>
    <w:qFormat/>
    <w:uiPriority w:val="0"/>
    <w:pPr>
      <w:jc w:val="left"/>
    </w:pPr>
  </w:style>
  <w:style w:type="paragraph" w:styleId="5">
    <w:name w:val="toc 3"/>
    <w:basedOn w:val="1"/>
    <w:next w:val="1"/>
    <w:qFormat/>
    <w:uiPriority w:val="0"/>
    <w:pPr>
      <w:ind w:left="840" w:leftChars="4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3">
    <w:name w:val="page number"/>
    <w:basedOn w:val="12"/>
    <w:qFormat/>
    <w:uiPriority w:val="0"/>
  </w:style>
  <w:style w:type="paragraph" w:customStyle="1" w:styleId="14">
    <w:name w:val="Body text|1"/>
    <w:basedOn w:val="1"/>
    <w:qFormat/>
    <w:uiPriority w:val="0"/>
    <w:pPr>
      <w:widowControl w:val="0"/>
      <w:shd w:val="clear" w:color="auto" w:fill="auto"/>
      <w:spacing w:line="444" w:lineRule="auto"/>
      <w:ind w:firstLine="400"/>
    </w:pPr>
    <w:rPr>
      <w:rFonts w:ascii="宋体" w:hAnsi="宋体" w:eastAsia="宋体" w:cs="宋体"/>
      <w:sz w:val="28"/>
      <w:szCs w:val="28"/>
      <w:u w:val="none"/>
      <w:shd w:val="clear" w:color="auto" w:fill="auto"/>
      <w:lang w:val="zh-TW" w:eastAsia="zh-TW" w:bidi="zh-TW"/>
    </w:rPr>
  </w:style>
  <w:style w:type="character" w:customStyle="1" w:styleId="15">
    <w:name w:val="font11"/>
    <w:basedOn w:val="12"/>
    <w:qFormat/>
    <w:uiPriority w:val="0"/>
    <w:rPr>
      <w:rFonts w:hint="default" w:ascii="Times New Roman" w:hAnsi="Times New Roman" w:cs="Times New Roman"/>
      <w:color w:val="000000"/>
      <w:sz w:val="22"/>
      <w:szCs w:val="22"/>
      <w:u w:val="none"/>
    </w:rPr>
  </w:style>
  <w:style w:type="character" w:customStyle="1" w:styleId="16">
    <w:name w:val="正文文本缩进 Char"/>
    <w:link w:val="3"/>
    <w:qFormat/>
    <w:locked/>
    <w:uiPriority w:val="0"/>
    <w:rPr>
      <w:rFonts w:ascii="仿宋_GB2312" w:eastAsia="仿宋_GB2312"/>
      <w:sz w:val="32"/>
      <w:szCs w:val="28"/>
      <w:lang w:bidi="ar-SA"/>
    </w:rPr>
  </w:style>
  <w:style w:type="character" w:customStyle="1" w:styleId="17">
    <w:name w:val="font21"/>
    <w:basedOn w:val="12"/>
    <w:qFormat/>
    <w:uiPriority w:val="0"/>
    <w:rPr>
      <w:rFonts w:hint="default" w:ascii="Times New Roman" w:hAnsi="Times New Roman" w:cs="Times New Roman"/>
      <w:color w:val="000000"/>
      <w:sz w:val="18"/>
      <w:szCs w:val="18"/>
      <w:u w:val="none"/>
    </w:rPr>
  </w:style>
  <w:style w:type="character" w:customStyle="1" w:styleId="18">
    <w:name w:val="font31"/>
    <w:basedOn w:val="12"/>
    <w:qFormat/>
    <w:uiPriority w:val="0"/>
    <w:rPr>
      <w:rFonts w:hint="eastAsia" w:ascii="宋体" w:hAnsi="宋体" w:eastAsia="宋体" w:cs="宋体"/>
      <w:color w:val="000000"/>
      <w:sz w:val="18"/>
      <w:szCs w:val="18"/>
      <w:u w:val="none"/>
    </w:rPr>
  </w:style>
  <w:style w:type="character" w:customStyle="1" w:styleId="19">
    <w:name w:val="font01"/>
    <w:basedOn w:val="12"/>
    <w:qFormat/>
    <w:uiPriority w:val="0"/>
    <w:rPr>
      <w:rFonts w:hint="default" w:ascii="Times New Roman" w:hAnsi="Times New Roman" w:cs="Times New Roman"/>
      <w:color w:val="000000"/>
      <w:sz w:val="22"/>
      <w:szCs w:val="22"/>
      <w:u w:val="none"/>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18</Pages>
  <Words>1542</Words>
  <Characters>8793</Characters>
  <Lines>73</Lines>
  <Paragraphs>20</Paragraphs>
  <TotalTime>70</TotalTime>
  <ScaleCrop>false</ScaleCrop>
  <LinksUpToDate>false</LinksUpToDate>
  <CharactersWithSpaces>10315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2018-05-07T07:04:00Z</dcterms:created>
  <dc:creator>jujumao</dc:creator>
  <cp:lastModifiedBy>shadow</cp:lastModifiedBy>
  <cp:lastPrinted>2019-05-10T10:36:00Z</cp:lastPrinted>
  <dcterms:modified xsi:type="dcterms:W3CDTF">2020-12-24T03:25:10Z</dcterms:modified>
  <dc:title>             ______部门整体支出绩效评价报告</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