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800" w:lineRule="exact"/>
        <w:ind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2019年度宜春市保障性住房专项资金</w:t>
      </w:r>
    </w:p>
    <w:p>
      <w:pPr>
        <w:keepNext w:val="0"/>
        <w:keepLines w:val="0"/>
        <w:pageBreakBefore w:val="0"/>
        <w:widowControl w:val="0"/>
        <w:kinsoku/>
        <w:wordWrap/>
        <w:overflowPunct/>
        <w:topLinePunct w:val="0"/>
        <w:autoSpaceDE/>
        <w:autoSpaceDN/>
        <w:bidi w:val="0"/>
        <w:adjustRightInd w:val="0"/>
        <w:snapToGrid w:val="0"/>
        <w:spacing w:line="800" w:lineRule="exact"/>
        <w:ind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项目绩效评价报告</w:t>
      </w:r>
      <w:bookmarkStart w:id="3" w:name="_GoBack"/>
      <w:bookmarkEnd w:id="3"/>
    </w:p>
    <w:p>
      <w:pPr>
        <w:ind w:firstLine="560"/>
        <w:rPr>
          <w:rFonts w:ascii="Times New Roman" w:hAnsi="Times New Roman" w:eastAsia="黑体"/>
          <w:szCs w:val="28"/>
        </w:rPr>
      </w:pPr>
      <w:bookmarkStart w:id="0" w:name="_Hlk52898225"/>
      <w:r>
        <w:rPr>
          <w:rFonts w:ascii="Times New Roman" w:hAnsi="Times New Roman" w:eastAsia="黑体"/>
          <w:szCs w:val="28"/>
        </w:rPr>
        <w:t>一、评价概况</w:t>
      </w:r>
    </w:p>
    <w:bookmarkEnd w:id="0"/>
    <w:p>
      <w:pPr>
        <w:ind w:firstLine="560"/>
        <w:jc w:val="left"/>
        <w:rPr>
          <w:rFonts w:ascii="Times New Roman" w:hAnsi="Times New Roman"/>
          <w:szCs w:val="28"/>
        </w:rPr>
      </w:pPr>
      <w:r>
        <w:rPr>
          <w:rFonts w:ascii="Times New Roman" w:hAnsi="Times New Roman"/>
          <w:szCs w:val="32"/>
        </w:rPr>
        <w:t>为更好地解决城市中低收入家庭住房困难，实现人民群众住有所居，宜春市积极抓好保障性住房管理落实工作。为进一步维持</w:t>
      </w:r>
      <w:r>
        <w:rPr>
          <w:rFonts w:ascii="Times New Roman" w:hAnsi="Times New Roman"/>
        </w:rPr>
        <w:t>保障性住房运营、维护及小区物业管理正常运行，改善宜春市中低收入家庭居住条件和人居环境，宜春市财政局2019年度共下达</w:t>
      </w:r>
      <w:r>
        <w:rPr>
          <w:rFonts w:ascii="Times New Roman" w:hAnsi="Times New Roman"/>
          <w:bCs/>
          <w:szCs w:val="28"/>
        </w:rPr>
        <w:t>预算资金1516.84万元，主要用于</w:t>
      </w:r>
      <w:r>
        <w:rPr>
          <w:rFonts w:ascii="Times New Roman" w:hAnsi="Times New Roman"/>
        </w:rPr>
        <w:t>直管公房及保障房运营、直管公房及保障房维护管理、保障房物业服务等三方面工作支出。</w:t>
      </w:r>
      <w:r>
        <w:rPr>
          <w:rFonts w:ascii="Times New Roman" w:hAnsi="Times New Roman"/>
          <w:szCs w:val="28"/>
        </w:rPr>
        <w:t>2019年，该项目预算安排资金</w:t>
      </w:r>
      <w:r>
        <w:rPr>
          <w:rFonts w:ascii="Times New Roman" w:hAnsi="Times New Roman"/>
          <w:bCs/>
          <w:szCs w:val="28"/>
        </w:rPr>
        <w:t>1516.84</w:t>
      </w:r>
      <w:r>
        <w:rPr>
          <w:rFonts w:ascii="Times New Roman" w:hAnsi="Times New Roman"/>
          <w:szCs w:val="28"/>
        </w:rPr>
        <w:t>万元，实际到位</w:t>
      </w:r>
      <w:r>
        <w:rPr>
          <w:rFonts w:ascii="Times New Roman" w:hAnsi="Times New Roman"/>
          <w:bCs/>
          <w:szCs w:val="28"/>
        </w:rPr>
        <w:t>1516.84</w:t>
      </w:r>
      <w:r>
        <w:rPr>
          <w:rFonts w:ascii="Times New Roman" w:hAnsi="Times New Roman"/>
          <w:szCs w:val="28"/>
        </w:rPr>
        <w:t>万元，实际支出</w:t>
      </w:r>
      <w:r>
        <w:rPr>
          <w:rFonts w:ascii="Times New Roman" w:hAnsi="Times New Roman"/>
          <w:bCs/>
          <w:szCs w:val="28"/>
        </w:rPr>
        <w:t>1516.84</w:t>
      </w:r>
      <w:r>
        <w:rPr>
          <w:rFonts w:ascii="Times New Roman" w:hAnsi="Times New Roman"/>
          <w:szCs w:val="28"/>
        </w:rPr>
        <w:t>万元，预算执行率为100%。</w:t>
      </w:r>
    </w:p>
    <w:p>
      <w:pPr>
        <w:ind w:firstLine="560"/>
        <w:jc w:val="left"/>
        <w:rPr>
          <w:rFonts w:ascii="Times New Roman" w:hAnsi="Times New Roman"/>
        </w:rPr>
      </w:pPr>
      <w:r>
        <w:rPr>
          <w:rFonts w:ascii="Times New Roman" w:hAnsi="Times New Roman"/>
          <w:szCs w:val="28"/>
        </w:rPr>
        <w:t>北京中泽融信管理咨询有限公司受宜春市财政局委托，对2019年度宜春市保障性住房专项资金项目开展财政重点绩效评价，通过资料收集分析及现场调研工作开展方式对专项进行综合评价。通过评价，</w:t>
      </w:r>
      <w:r>
        <w:rPr>
          <w:rFonts w:ascii="Times New Roman" w:hAnsi="Times New Roman"/>
          <w:b/>
          <w:szCs w:val="28"/>
        </w:rPr>
        <w:t>项目综合得分为87.50，评价等级为“良”，</w:t>
      </w:r>
      <w:r>
        <w:rPr>
          <w:rFonts w:ascii="Times New Roman" w:hAnsi="Times New Roman"/>
          <w:bCs/>
          <w:szCs w:val="28"/>
        </w:rPr>
        <w:t>具体评分见下表</w:t>
      </w:r>
      <w:r>
        <w:rPr>
          <w:rFonts w:ascii="Times New Roman" w:hAnsi="Times New Roman"/>
        </w:rPr>
        <w:t>：</w:t>
      </w:r>
    </w:p>
    <w:tbl>
      <w:tblPr>
        <w:tblStyle w:val="16"/>
        <w:tblW w:w="46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333"/>
        <w:gridCol w:w="1330"/>
        <w:gridCol w:w="1330"/>
        <w:gridCol w:w="133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3" w:type="pct"/>
            <w:shd w:val="clear" w:color="auto" w:fill="D9D9D9"/>
            <w:vAlign w:val="center"/>
          </w:tcPr>
          <w:p>
            <w:pPr>
              <w:ind w:firstLine="0" w:firstLineChars="0"/>
              <w:jc w:val="center"/>
              <w:rPr>
                <w:rFonts w:ascii="Times New Roman" w:hAnsi="Times New Roman"/>
                <w:b/>
                <w:spacing w:val="-10"/>
                <w:sz w:val="20"/>
                <w:szCs w:val="20"/>
              </w:rPr>
            </w:pPr>
            <w:bookmarkStart w:id="1" w:name="_Hlk52898134"/>
            <w:r>
              <w:rPr>
                <w:rFonts w:ascii="Times New Roman" w:hAnsi="Times New Roman"/>
                <w:b/>
                <w:spacing w:val="-10"/>
                <w:sz w:val="20"/>
                <w:szCs w:val="20"/>
              </w:rPr>
              <w:t>项    目</w:t>
            </w:r>
          </w:p>
        </w:tc>
        <w:tc>
          <w:tcPr>
            <w:tcW w:w="834" w:type="pct"/>
            <w:shd w:val="clear" w:color="auto" w:fill="D9D9D9"/>
            <w:vAlign w:val="center"/>
          </w:tcPr>
          <w:p>
            <w:pPr>
              <w:ind w:firstLine="0" w:firstLineChars="0"/>
              <w:jc w:val="center"/>
              <w:rPr>
                <w:rFonts w:ascii="Times New Roman" w:hAnsi="Times New Roman"/>
                <w:b/>
                <w:sz w:val="20"/>
                <w:szCs w:val="20"/>
              </w:rPr>
            </w:pPr>
            <w:r>
              <w:rPr>
                <w:rFonts w:ascii="Times New Roman" w:hAnsi="Times New Roman"/>
                <w:b/>
                <w:sz w:val="20"/>
                <w:szCs w:val="20"/>
              </w:rPr>
              <w:t>决策</w:t>
            </w:r>
          </w:p>
        </w:tc>
        <w:tc>
          <w:tcPr>
            <w:tcW w:w="832" w:type="pct"/>
            <w:shd w:val="clear" w:color="auto" w:fill="D9D9D9"/>
            <w:vAlign w:val="center"/>
          </w:tcPr>
          <w:p>
            <w:pPr>
              <w:ind w:firstLine="0" w:firstLineChars="0"/>
              <w:jc w:val="center"/>
              <w:rPr>
                <w:rFonts w:ascii="Times New Roman" w:hAnsi="Times New Roman"/>
                <w:b/>
                <w:sz w:val="20"/>
                <w:szCs w:val="20"/>
              </w:rPr>
            </w:pPr>
            <w:r>
              <w:rPr>
                <w:rFonts w:ascii="Times New Roman" w:hAnsi="Times New Roman"/>
                <w:b/>
                <w:sz w:val="20"/>
                <w:szCs w:val="20"/>
              </w:rPr>
              <w:t>过程</w:t>
            </w:r>
          </w:p>
        </w:tc>
        <w:tc>
          <w:tcPr>
            <w:tcW w:w="832" w:type="pct"/>
            <w:shd w:val="clear" w:color="auto" w:fill="D9D9D9"/>
            <w:vAlign w:val="center"/>
          </w:tcPr>
          <w:p>
            <w:pPr>
              <w:ind w:firstLine="0" w:firstLineChars="0"/>
              <w:jc w:val="center"/>
              <w:rPr>
                <w:rFonts w:ascii="Times New Roman" w:hAnsi="Times New Roman"/>
                <w:b/>
                <w:sz w:val="20"/>
                <w:szCs w:val="20"/>
              </w:rPr>
            </w:pPr>
            <w:r>
              <w:rPr>
                <w:rFonts w:ascii="Times New Roman" w:hAnsi="Times New Roman"/>
                <w:b/>
                <w:sz w:val="20"/>
                <w:szCs w:val="20"/>
              </w:rPr>
              <w:t>产出</w:t>
            </w:r>
          </w:p>
        </w:tc>
        <w:tc>
          <w:tcPr>
            <w:tcW w:w="834" w:type="pct"/>
            <w:shd w:val="clear" w:color="auto" w:fill="D9D9D9"/>
            <w:vAlign w:val="center"/>
          </w:tcPr>
          <w:p>
            <w:pPr>
              <w:ind w:firstLine="0" w:firstLineChars="0"/>
              <w:jc w:val="center"/>
              <w:rPr>
                <w:rFonts w:ascii="Times New Roman" w:hAnsi="Times New Roman"/>
                <w:b/>
                <w:sz w:val="20"/>
                <w:szCs w:val="20"/>
              </w:rPr>
            </w:pPr>
            <w:r>
              <w:rPr>
                <w:rFonts w:ascii="Times New Roman" w:hAnsi="Times New Roman"/>
                <w:b/>
                <w:sz w:val="20"/>
                <w:szCs w:val="20"/>
              </w:rPr>
              <w:t>效益</w:t>
            </w:r>
          </w:p>
        </w:tc>
        <w:tc>
          <w:tcPr>
            <w:tcW w:w="834" w:type="pct"/>
            <w:shd w:val="clear" w:color="auto" w:fill="D9D9D9"/>
            <w:vAlign w:val="center"/>
          </w:tcPr>
          <w:p>
            <w:pPr>
              <w:ind w:firstLine="0" w:firstLineChars="0"/>
              <w:jc w:val="center"/>
              <w:rPr>
                <w:rFonts w:ascii="Times New Roman" w:hAnsi="Times New Roman"/>
                <w:b/>
                <w:spacing w:val="-10"/>
                <w:sz w:val="20"/>
                <w:szCs w:val="20"/>
              </w:rPr>
            </w:pPr>
            <w:r>
              <w:rPr>
                <w:rFonts w:ascii="Times New Roman" w:hAnsi="Times New Roman"/>
                <w:b/>
                <w:spacing w:val="-10"/>
                <w:sz w:val="20"/>
                <w:szCs w:val="20"/>
              </w:rPr>
              <w:t>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3" w:type="pct"/>
            <w:vAlign w:val="center"/>
          </w:tcPr>
          <w:p>
            <w:pPr>
              <w:ind w:firstLine="0" w:firstLineChars="0"/>
              <w:jc w:val="center"/>
              <w:rPr>
                <w:rFonts w:ascii="Times New Roman" w:hAnsi="Times New Roman"/>
                <w:b/>
                <w:spacing w:val="-10"/>
                <w:sz w:val="20"/>
                <w:szCs w:val="20"/>
              </w:rPr>
            </w:pPr>
            <w:r>
              <w:rPr>
                <w:rFonts w:ascii="Times New Roman" w:hAnsi="Times New Roman"/>
                <w:b/>
                <w:spacing w:val="-10"/>
                <w:sz w:val="20"/>
                <w:szCs w:val="20"/>
              </w:rPr>
              <w:t>标准分值</w:t>
            </w:r>
          </w:p>
        </w:tc>
        <w:tc>
          <w:tcPr>
            <w:tcW w:w="834" w:type="pct"/>
            <w:vAlign w:val="center"/>
          </w:tcPr>
          <w:p>
            <w:pPr>
              <w:ind w:firstLine="0" w:firstLineChars="0"/>
              <w:jc w:val="center"/>
              <w:rPr>
                <w:rFonts w:ascii="Times New Roman" w:hAnsi="Times New Roman"/>
                <w:spacing w:val="-4"/>
                <w:sz w:val="20"/>
                <w:szCs w:val="20"/>
              </w:rPr>
            </w:pPr>
            <w:r>
              <w:rPr>
                <w:rFonts w:ascii="Times New Roman" w:hAnsi="Times New Roman"/>
                <w:spacing w:val="-4"/>
                <w:sz w:val="20"/>
                <w:szCs w:val="20"/>
              </w:rPr>
              <w:t>15</w:t>
            </w:r>
          </w:p>
        </w:tc>
        <w:tc>
          <w:tcPr>
            <w:tcW w:w="832" w:type="pct"/>
            <w:vAlign w:val="center"/>
          </w:tcPr>
          <w:p>
            <w:pPr>
              <w:ind w:firstLine="0" w:firstLineChars="0"/>
              <w:jc w:val="center"/>
              <w:rPr>
                <w:rFonts w:ascii="Times New Roman" w:hAnsi="Times New Roman"/>
                <w:spacing w:val="-4"/>
                <w:sz w:val="20"/>
                <w:szCs w:val="20"/>
              </w:rPr>
            </w:pPr>
            <w:r>
              <w:rPr>
                <w:rFonts w:ascii="Times New Roman" w:hAnsi="Times New Roman"/>
                <w:spacing w:val="-4"/>
                <w:sz w:val="20"/>
                <w:szCs w:val="20"/>
              </w:rPr>
              <w:t>15</w:t>
            </w:r>
          </w:p>
        </w:tc>
        <w:tc>
          <w:tcPr>
            <w:tcW w:w="832" w:type="pct"/>
            <w:vAlign w:val="center"/>
          </w:tcPr>
          <w:p>
            <w:pPr>
              <w:ind w:firstLine="0" w:firstLineChars="0"/>
              <w:jc w:val="center"/>
              <w:rPr>
                <w:rFonts w:ascii="Times New Roman" w:hAnsi="Times New Roman"/>
                <w:spacing w:val="-4"/>
                <w:sz w:val="20"/>
                <w:szCs w:val="20"/>
              </w:rPr>
            </w:pPr>
            <w:r>
              <w:rPr>
                <w:rFonts w:ascii="Times New Roman" w:hAnsi="Times New Roman"/>
                <w:spacing w:val="-4"/>
                <w:sz w:val="20"/>
                <w:szCs w:val="20"/>
              </w:rPr>
              <w:t>49</w:t>
            </w:r>
          </w:p>
        </w:tc>
        <w:tc>
          <w:tcPr>
            <w:tcW w:w="834" w:type="pct"/>
            <w:vAlign w:val="center"/>
          </w:tcPr>
          <w:p>
            <w:pPr>
              <w:ind w:firstLine="0" w:firstLineChars="0"/>
              <w:jc w:val="center"/>
              <w:rPr>
                <w:rFonts w:ascii="Times New Roman" w:hAnsi="Times New Roman"/>
                <w:spacing w:val="-4"/>
                <w:sz w:val="20"/>
                <w:szCs w:val="20"/>
              </w:rPr>
            </w:pPr>
            <w:r>
              <w:rPr>
                <w:rFonts w:ascii="Times New Roman" w:hAnsi="Times New Roman"/>
                <w:spacing w:val="-4"/>
                <w:sz w:val="20"/>
                <w:szCs w:val="20"/>
              </w:rPr>
              <w:t>21</w:t>
            </w:r>
          </w:p>
        </w:tc>
        <w:tc>
          <w:tcPr>
            <w:tcW w:w="834" w:type="pct"/>
            <w:vAlign w:val="center"/>
          </w:tcPr>
          <w:p>
            <w:pPr>
              <w:ind w:firstLine="0" w:firstLineChars="0"/>
              <w:jc w:val="center"/>
              <w:rPr>
                <w:rFonts w:ascii="Times New Roman" w:hAnsi="Times New Roman"/>
                <w:spacing w:val="-4"/>
                <w:sz w:val="20"/>
                <w:szCs w:val="20"/>
              </w:rPr>
            </w:pPr>
            <w:r>
              <w:rPr>
                <w:rFonts w:ascii="Times New Roman" w:hAnsi="Times New Roman"/>
                <w:spacing w:val="-4"/>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3" w:type="pct"/>
            <w:vAlign w:val="center"/>
          </w:tcPr>
          <w:p>
            <w:pPr>
              <w:ind w:firstLine="0" w:firstLineChars="0"/>
              <w:jc w:val="center"/>
              <w:rPr>
                <w:rFonts w:ascii="Times New Roman" w:hAnsi="Times New Roman"/>
                <w:b/>
                <w:spacing w:val="-10"/>
                <w:sz w:val="20"/>
                <w:szCs w:val="20"/>
              </w:rPr>
            </w:pPr>
            <w:r>
              <w:rPr>
                <w:rFonts w:ascii="Times New Roman" w:hAnsi="Times New Roman"/>
                <w:b/>
                <w:spacing w:val="-10"/>
                <w:sz w:val="20"/>
                <w:szCs w:val="20"/>
              </w:rPr>
              <w:t>评价得分</w:t>
            </w:r>
          </w:p>
        </w:tc>
        <w:tc>
          <w:tcPr>
            <w:tcW w:w="834" w:type="pct"/>
            <w:vAlign w:val="center"/>
          </w:tcPr>
          <w:p>
            <w:pPr>
              <w:ind w:firstLine="0" w:firstLineChars="0"/>
              <w:jc w:val="center"/>
              <w:rPr>
                <w:rFonts w:ascii="Times New Roman" w:hAnsi="Times New Roman"/>
                <w:spacing w:val="-10"/>
                <w:sz w:val="20"/>
                <w:szCs w:val="20"/>
              </w:rPr>
            </w:pPr>
            <w:r>
              <w:rPr>
                <w:rFonts w:ascii="Times New Roman" w:hAnsi="Times New Roman"/>
                <w:spacing w:val="-10"/>
                <w:sz w:val="20"/>
                <w:szCs w:val="20"/>
              </w:rPr>
              <w:t>13</w:t>
            </w:r>
          </w:p>
        </w:tc>
        <w:tc>
          <w:tcPr>
            <w:tcW w:w="832" w:type="pct"/>
            <w:vAlign w:val="center"/>
          </w:tcPr>
          <w:p>
            <w:pPr>
              <w:ind w:firstLine="0" w:firstLineChars="0"/>
              <w:jc w:val="center"/>
              <w:rPr>
                <w:rFonts w:ascii="Times New Roman" w:hAnsi="Times New Roman"/>
                <w:spacing w:val="-10"/>
                <w:sz w:val="20"/>
                <w:szCs w:val="20"/>
              </w:rPr>
            </w:pPr>
            <w:r>
              <w:rPr>
                <w:rFonts w:ascii="Times New Roman" w:hAnsi="Times New Roman"/>
                <w:spacing w:val="-10"/>
                <w:sz w:val="20"/>
                <w:szCs w:val="20"/>
              </w:rPr>
              <w:t>13</w:t>
            </w:r>
          </w:p>
        </w:tc>
        <w:tc>
          <w:tcPr>
            <w:tcW w:w="832" w:type="pct"/>
            <w:vAlign w:val="center"/>
          </w:tcPr>
          <w:p>
            <w:pPr>
              <w:ind w:firstLine="0" w:firstLineChars="0"/>
              <w:jc w:val="center"/>
              <w:rPr>
                <w:rFonts w:ascii="Times New Roman" w:hAnsi="Times New Roman"/>
                <w:spacing w:val="-10"/>
                <w:sz w:val="20"/>
                <w:szCs w:val="20"/>
              </w:rPr>
            </w:pPr>
            <w:r>
              <w:rPr>
                <w:rFonts w:ascii="Times New Roman" w:hAnsi="Times New Roman"/>
                <w:spacing w:val="-10"/>
                <w:sz w:val="20"/>
                <w:szCs w:val="20"/>
              </w:rPr>
              <w:t>43.50</w:t>
            </w:r>
          </w:p>
        </w:tc>
        <w:tc>
          <w:tcPr>
            <w:tcW w:w="834" w:type="pct"/>
            <w:vAlign w:val="center"/>
          </w:tcPr>
          <w:p>
            <w:pPr>
              <w:ind w:firstLine="0" w:firstLineChars="0"/>
              <w:jc w:val="center"/>
              <w:rPr>
                <w:rFonts w:ascii="Times New Roman" w:hAnsi="Times New Roman"/>
                <w:spacing w:val="-10"/>
                <w:sz w:val="20"/>
                <w:szCs w:val="20"/>
              </w:rPr>
            </w:pPr>
            <w:r>
              <w:rPr>
                <w:rFonts w:ascii="Times New Roman" w:hAnsi="Times New Roman"/>
                <w:spacing w:val="-10"/>
                <w:sz w:val="20"/>
                <w:szCs w:val="20"/>
              </w:rPr>
              <w:t>18</w:t>
            </w:r>
          </w:p>
        </w:tc>
        <w:tc>
          <w:tcPr>
            <w:tcW w:w="834" w:type="pct"/>
            <w:vAlign w:val="center"/>
          </w:tcPr>
          <w:p>
            <w:pPr>
              <w:ind w:firstLine="0" w:firstLineChars="0"/>
              <w:jc w:val="center"/>
              <w:rPr>
                <w:rFonts w:ascii="Times New Roman" w:hAnsi="Times New Roman"/>
                <w:spacing w:val="-10"/>
                <w:sz w:val="20"/>
                <w:szCs w:val="20"/>
              </w:rPr>
            </w:pPr>
            <w:r>
              <w:rPr>
                <w:rFonts w:ascii="Times New Roman" w:hAnsi="Times New Roman"/>
                <w:spacing w:val="-10"/>
                <w:sz w:val="20"/>
                <w:szCs w:val="20"/>
              </w:rPr>
              <w:t>87.50</w:t>
            </w:r>
          </w:p>
        </w:tc>
      </w:tr>
      <w:bookmarkEnd w:id="1"/>
    </w:tbl>
    <w:p>
      <w:pPr>
        <w:spacing w:before="156" w:beforeLines="50"/>
        <w:ind w:firstLine="560"/>
        <w:rPr>
          <w:rFonts w:ascii="Times New Roman" w:hAnsi="Times New Roman" w:eastAsia="黑体"/>
          <w:szCs w:val="28"/>
        </w:rPr>
      </w:pPr>
      <w:r>
        <w:rPr>
          <w:rFonts w:ascii="Times New Roman" w:hAnsi="Times New Roman" w:eastAsia="黑体"/>
          <w:szCs w:val="28"/>
        </w:rPr>
        <w:t>二、项目主要绩效</w:t>
      </w:r>
    </w:p>
    <w:p>
      <w:pPr>
        <w:ind w:firstLine="560"/>
        <w:rPr>
          <w:rFonts w:ascii="Times New Roman" w:hAnsi="Times New Roman"/>
        </w:rPr>
      </w:pPr>
      <w:r>
        <w:rPr>
          <w:rFonts w:ascii="Times New Roman" w:hAnsi="Times New Roman"/>
        </w:rPr>
        <w:t>项目总体产出完成情况较好，年度工作内容均按照计划完成，通过项目实施有效保障宜春市低收入群体住房情况，提升保障房事业发展质效，有效促进保障房租赁及物业服务健康有序发展，促进实现人民群众住有所居，促进宜春市保障性住房专项资金管理工作水平的提升。</w:t>
      </w:r>
    </w:p>
    <w:p>
      <w:pPr>
        <w:pStyle w:val="2"/>
        <w:spacing w:after="0"/>
        <w:ind w:left="0" w:leftChars="0" w:firstLine="560"/>
        <w:rPr>
          <w:rFonts w:ascii="Times New Roman" w:hAnsi="Times New Roman" w:eastAsia="黑体"/>
          <w:szCs w:val="32"/>
        </w:rPr>
      </w:pPr>
      <w:r>
        <w:rPr>
          <w:rFonts w:ascii="Times New Roman" w:hAnsi="Times New Roman" w:eastAsia="黑体"/>
          <w:szCs w:val="32"/>
        </w:rPr>
        <w:t>三、存在的问题</w:t>
      </w:r>
    </w:p>
    <w:p>
      <w:pPr>
        <w:ind w:firstLine="560"/>
        <w:rPr>
          <w:rFonts w:ascii="Times New Roman" w:hAnsi="Times New Roman"/>
          <w:bCs/>
          <w:szCs w:val="28"/>
        </w:rPr>
      </w:pPr>
      <w:r>
        <w:rPr>
          <w:rFonts w:ascii="Times New Roman" w:hAnsi="Times New Roman"/>
          <w:bCs/>
          <w:szCs w:val="28"/>
        </w:rPr>
        <w:t>该项目实施仍存在如下问题需要进一步改进：</w:t>
      </w:r>
    </w:p>
    <w:p>
      <w:pPr>
        <w:ind w:firstLine="560"/>
        <w:rPr>
          <w:rFonts w:ascii="Times New Roman" w:hAnsi="Times New Roman"/>
          <w:szCs w:val="28"/>
        </w:rPr>
      </w:pPr>
      <w:r>
        <w:rPr>
          <w:rFonts w:ascii="Times New Roman" w:hAnsi="Times New Roman"/>
          <w:szCs w:val="28"/>
        </w:rPr>
        <w:t>1.绩效目标设置科学合理性不足，绩效管理意识有待提升</w:t>
      </w:r>
    </w:p>
    <w:p>
      <w:pPr>
        <w:ind w:firstLine="560"/>
        <w:rPr>
          <w:rFonts w:ascii="Times New Roman" w:hAnsi="Times New Roman"/>
          <w:szCs w:val="28"/>
        </w:rPr>
      </w:pPr>
      <w:r>
        <w:rPr>
          <w:rFonts w:ascii="Times New Roman" w:hAnsi="Times New Roman"/>
          <w:szCs w:val="28"/>
        </w:rPr>
        <w:t>项目绩效目标设置不够科学合理，主要体现为：</w:t>
      </w:r>
      <w:r>
        <w:rPr>
          <w:rFonts w:ascii="Times New Roman" w:hAnsi="Times New Roman"/>
          <w:b/>
          <w:szCs w:val="28"/>
        </w:rPr>
        <w:t>一是</w:t>
      </w:r>
      <w:r>
        <w:rPr>
          <w:rFonts w:ascii="Times New Roman" w:hAnsi="Times New Roman"/>
          <w:szCs w:val="28"/>
        </w:rPr>
        <w:t>部分重点工作在绩效目标中未能明确，绩效目标中预期产出绩效内容设置不够清晰细致。</w:t>
      </w:r>
      <w:r>
        <w:rPr>
          <w:rFonts w:ascii="Times New Roman" w:hAnsi="Times New Roman"/>
          <w:b/>
          <w:szCs w:val="28"/>
        </w:rPr>
        <w:t>二是</w:t>
      </w:r>
      <w:r>
        <w:rPr>
          <w:rFonts w:ascii="Times New Roman" w:hAnsi="Times New Roman"/>
          <w:szCs w:val="28"/>
        </w:rPr>
        <w:t xml:space="preserve">部分产出质量指标值不够清晰、可衡量性不足，同时项目绩效目标分解具体绩效指标也不够细化深入。 </w:t>
      </w:r>
    </w:p>
    <w:p>
      <w:pPr>
        <w:ind w:firstLine="560"/>
        <w:rPr>
          <w:rFonts w:ascii="Times New Roman" w:hAnsi="Times New Roman"/>
          <w:szCs w:val="28"/>
        </w:rPr>
      </w:pPr>
      <w:r>
        <w:rPr>
          <w:rFonts w:ascii="Times New Roman" w:hAnsi="Times New Roman"/>
          <w:szCs w:val="28"/>
        </w:rPr>
        <w:t>2.违规转租处罚力度还需加强，监督管理存在薄弱环节</w:t>
      </w:r>
    </w:p>
    <w:p>
      <w:pPr>
        <w:ind w:firstLine="560"/>
        <w:rPr>
          <w:rFonts w:ascii="Times New Roman" w:hAnsi="Times New Roman"/>
          <w:szCs w:val="28"/>
        </w:rPr>
      </w:pPr>
      <w:r>
        <w:rPr>
          <w:rFonts w:ascii="Times New Roman" w:hAnsi="Times New Roman"/>
          <w:szCs w:val="28"/>
        </w:rPr>
        <w:t>项目监督管理薄弱环节主要体现为：</w:t>
      </w:r>
      <w:r>
        <w:rPr>
          <w:rFonts w:ascii="Times New Roman" w:hAnsi="Times New Roman"/>
          <w:b/>
          <w:szCs w:val="28"/>
        </w:rPr>
        <w:t>一是</w:t>
      </w:r>
      <w:r>
        <w:rPr>
          <w:rFonts w:ascii="Times New Roman" w:hAnsi="Times New Roman"/>
          <w:szCs w:val="28"/>
        </w:rPr>
        <w:t>保障性住房准入和退出管理不够完善，审批程序不够完善。</w:t>
      </w:r>
      <w:r>
        <w:rPr>
          <w:rFonts w:ascii="Times New Roman" w:hAnsi="Times New Roman"/>
          <w:b/>
          <w:szCs w:val="28"/>
        </w:rPr>
        <w:t>二是</w:t>
      </w:r>
      <w:r>
        <w:rPr>
          <w:rFonts w:ascii="Times New Roman" w:hAnsi="Times New Roman"/>
          <w:szCs w:val="28"/>
        </w:rPr>
        <w:t>项目主管部门及项目实施单位未严格履职尽责，监督管理较为薄弱。</w:t>
      </w:r>
      <w:r>
        <w:rPr>
          <w:rFonts w:ascii="Times New Roman" w:hAnsi="Times New Roman"/>
          <w:b/>
          <w:szCs w:val="28"/>
        </w:rPr>
        <w:t>三是</w:t>
      </w:r>
      <w:r>
        <w:rPr>
          <w:rFonts w:ascii="Times New Roman" w:hAnsi="Times New Roman"/>
          <w:szCs w:val="28"/>
        </w:rPr>
        <w:t>存在部分租户违规转租现象，</w:t>
      </w:r>
      <w:r>
        <w:rPr>
          <w:rFonts w:ascii="Times New Roman" w:hAnsi="Times New Roman"/>
        </w:rPr>
        <w:t>目前整改、协调进度较慢。</w:t>
      </w:r>
    </w:p>
    <w:p>
      <w:pPr>
        <w:ind w:firstLine="560"/>
        <w:rPr>
          <w:rFonts w:ascii="Times New Roman" w:hAnsi="Times New Roman" w:eastAsia="黑体"/>
          <w:szCs w:val="28"/>
        </w:rPr>
      </w:pPr>
      <w:bookmarkStart w:id="2" w:name="_Toc47127494"/>
      <w:r>
        <w:rPr>
          <w:rFonts w:ascii="Times New Roman" w:hAnsi="Times New Roman" w:eastAsia="黑体"/>
          <w:szCs w:val="28"/>
        </w:rPr>
        <w:t>四、意见和建议</w:t>
      </w:r>
    </w:p>
    <w:p>
      <w:pPr>
        <w:ind w:firstLine="560"/>
        <w:rPr>
          <w:rFonts w:ascii="Times New Roman" w:hAnsi="Times New Roman"/>
        </w:rPr>
      </w:pPr>
      <w:r>
        <w:rPr>
          <w:rFonts w:ascii="Times New Roman" w:hAnsi="Times New Roman"/>
        </w:rPr>
        <w:t>针对上述问题，评价</w:t>
      </w:r>
      <w:r>
        <w:rPr>
          <w:rFonts w:ascii="Times New Roman" w:hAnsi="Times New Roman"/>
          <w:szCs w:val="28"/>
        </w:rPr>
        <w:t>小组</w:t>
      </w:r>
      <w:r>
        <w:rPr>
          <w:rFonts w:ascii="Times New Roman" w:hAnsi="Times New Roman"/>
        </w:rPr>
        <w:t>提出以下建议：</w:t>
      </w:r>
    </w:p>
    <w:p>
      <w:pPr>
        <w:ind w:firstLine="560"/>
        <w:rPr>
          <w:rFonts w:ascii="Times New Roman" w:hAnsi="Times New Roman"/>
          <w:szCs w:val="28"/>
        </w:rPr>
      </w:pPr>
      <w:r>
        <w:rPr>
          <w:rFonts w:ascii="Times New Roman" w:hAnsi="Times New Roman"/>
          <w:szCs w:val="28"/>
        </w:rPr>
        <w:t>1.完善项目绩效目标设置，提升绩效管理意识</w:t>
      </w:r>
    </w:p>
    <w:p>
      <w:pPr>
        <w:ind w:firstLine="560"/>
        <w:rPr>
          <w:rFonts w:ascii="Times New Roman" w:hAnsi="Times New Roman"/>
          <w:szCs w:val="28"/>
        </w:rPr>
      </w:pPr>
      <w:r>
        <w:rPr>
          <w:rFonts w:ascii="Times New Roman" w:hAnsi="Times New Roman"/>
          <w:szCs w:val="28"/>
        </w:rPr>
        <w:t>建议项目单位加强绩效目标填报研究，科学合理设置项目绩效目标：</w:t>
      </w:r>
      <w:r>
        <w:rPr>
          <w:rFonts w:ascii="Times New Roman" w:hAnsi="Times New Roman"/>
          <w:b/>
          <w:szCs w:val="28"/>
        </w:rPr>
        <w:t>一是</w:t>
      </w:r>
      <w:r>
        <w:rPr>
          <w:rFonts w:ascii="Times New Roman" w:hAnsi="Times New Roman"/>
          <w:szCs w:val="28"/>
        </w:rPr>
        <w:t>在年度绩效目标填报中有效涵盖年度重点工作任务，设置与年度工作内容相匹配，能够充分体现项目年度特征的、全面、量化及可考核的绩效目标。</w:t>
      </w:r>
      <w:r>
        <w:rPr>
          <w:rFonts w:ascii="Times New Roman" w:hAnsi="Times New Roman"/>
          <w:b/>
          <w:szCs w:val="28"/>
        </w:rPr>
        <w:t>二是</w:t>
      </w:r>
      <w:r>
        <w:rPr>
          <w:rFonts w:ascii="Times New Roman" w:hAnsi="Times New Roman"/>
          <w:szCs w:val="28"/>
        </w:rPr>
        <w:t>合理设置绩效指标值，根据项目历年指标完成情况，开展相关数据分析，增强绩效目标及指标设置的科学合理性。</w:t>
      </w:r>
      <w:r>
        <w:rPr>
          <w:rFonts w:ascii="Times New Roman" w:hAnsi="Times New Roman"/>
          <w:b/>
          <w:szCs w:val="28"/>
        </w:rPr>
        <w:t>三是</w:t>
      </w:r>
      <w:r>
        <w:rPr>
          <w:rFonts w:ascii="Times New Roman" w:hAnsi="Times New Roman"/>
          <w:szCs w:val="28"/>
        </w:rPr>
        <w:t>将绩效指标正确归类，针对宜春市保障性住房专项实施促进直管公房及保障房小区的管理维护、日常维修及物业服务水平提升情况设置相应效益指标。</w:t>
      </w:r>
    </w:p>
    <w:p>
      <w:pPr>
        <w:ind w:firstLine="560"/>
        <w:rPr>
          <w:rFonts w:ascii="Times New Roman" w:hAnsi="Times New Roman"/>
          <w:szCs w:val="28"/>
        </w:rPr>
      </w:pPr>
      <w:r>
        <w:rPr>
          <w:rFonts w:ascii="Times New Roman" w:hAnsi="Times New Roman"/>
          <w:szCs w:val="28"/>
        </w:rPr>
        <w:t>2.加强准入退出管理工作，增强违规行为处罚力度，探索“租补分离”政策模式</w:t>
      </w:r>
    </w:p>
    <w:p>
      <w:pPr>
        <w:ind w:firstLine="560"/>
        <w:rPr>
          <w:rFonts w:hint="eastAsia" w:ascii="Times New Roman" w:hAnsi="Times New Roman" w:eastAsia="仿宋_GB2312"/>
          <w:sz w:val="36"/>
          <w:szCs w:val="36"/>
          <w:lang w:eastAsia="zh-CN"/>
        </w:rPr>
        <w:sectPr>
          <w:headerReference r:id="rId3" w:type="default"/>
          <w:footerReference r:id="rId4" w:type="default"/>
          <w:pgSz w:w="11906" w:h="16838"/>
          <w:pgMar w:top="1440" w:right="1797" w:bottom="1440" w:left="1797" w:header="851" w:footer="992" w:gutter="0"/>
          <w:pgNumType w:fmt="decimal" w:start="1"/>
          <w:cols w:space="425" w:num="1"/>
          <w:docGrid w:type="linesAndChars" w:linePitch="312" w:charSpace="0"/>
        </w:sectPr>
      </w:pPr>
      <w:r>
        <w:rPr>
          <w:rFonts w:ascii="Times New Roman" w:hAnsi="Times New Roman"/>
          <w:szCs w:val="28"/>
        </w:rPr>
        <w:t>建议该项目建立更加严格的保障性住房准入和退出管理机制，增强违规转租巡查和处罚力度：</w:t>
      </w:r>
      <w:r>
        <w:rPr>
          <w:rFonts w:ascii="Times New Roman" w:hAnsi="Times New Roman"/>
          <w:b/>
          <w:bCs/>
          <w:szCs w:val="28"/>
        </w:rPr>
        <w:t>一是</w:t>
      </w:r>
      <w:r>
        <w:rPr>
          <w:rFonts w:ascii="Times New Roman" w:hAnsi="Times New Roman"/>
          <w:szCs w:val="28"/>
        </w:rPr>
        <w:t>在“三级审核、三榜公示”基础上，加强对住房保障申请家庭的资格审查，申请户入住后不定期组织保障性住房小区物业公司住户管理部门的工作人员进行上门巡查，对骗取保障房出租、转租的住户强制其退出。</w:t>
      </w:r>
      <w:r>
        <w:rPr>
          <w:rFonts w:ascii="Times New Roman" w:hAnsi="Times New Roman"/>
          <w:b/>
          <w:bCs/>
          <w:szCs w:val="28"/>
        </w:rPr>
        <w:t>二是</w:t>
      </w:r>
      <w:r>
        <w:rPr>
          <w:rFonts w:ascii="Times New Roman" w:hAnsi="Times New Roman"/>
          <w:szCs w:val="28"/>
        </w:rPr>
        <w:t>加大对转租等违规行为的处罚力度；建立保障性住房租赁黑名单制度。</w:t>
      </w:r>
      <w:r>
        <w:rPr>
          <w:rFonts w:ascii="Times New Roman" w:hAnsi="Times New Roman"/>
          <w:b/>
          <w:bCs/>
          <w:szCs w:val="28"/>
        </w:rPr>
        <w:t>三是</w:t>
      </w:r>
      <w:r>
        <w:rPr>
          <w:rFonts w:ascii="Times New Roman" w:hAnsi="Times New Roman"/>
          <w:szCs w:val="28"/>
        </w:rPr>
        <w:t>探索建立保障性住房“租补分离”政策，以有效遏制保障性住房转租获利行为</w:t>
      </w:r>
      <w:r>
        <w:rPr>
          <w:rFonts w:hint="eastAsia" w:ascii="Times New Roman" w:hAnsi="Times New Roman"/>
          <w:szCs w:val="28"/>
          <w:lang w:eastAsia="zh-CN"/>
        </w:rPr>
        <w:t>。</w:t>
      </w:r>
    </w:p>
    <w:bookmarkEnd w:id="2"/>
    <w:p>
      <w:pPr>
        <w:ind w:firstLine="0" w:firstLineChars="0"/>
        <w:rPr>
          <w:rFonts w:ascii="Times New Roman" w:hAnsi="Times New Roman"/>
          <w:szCs w:val="28"/>
        </w:rPr>
      </w:pPr>
    </w:p>
    <w:sectPr>
      <w:headerReference r:id="rId5" w:type="default"/>
      <w:footerReference r:id="rId6"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clear" w:pos="4153"/>
      </w:tabs>
      <w:ind w:firstLine="420"/>
      <w:jc w:val="both"/>
      <w:rPr>
        <w:rFonts w:ascii="宋体" w:hAnsi="宋体" w:eastAsia="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fvhtXeAgAAJAYAAA4AAAAAAAAAAQAgAAAAHwEAAGRycy9lMm9Eb2MueG1sUEsF&#10;BgAAAAAGAAYAWQEAAG8GAAAAAA==&#10;">
              <v:fill on="f" focussize="0,0"/>
              <v:stroke on="f" weight="0.5pt"/>
              <v:imagedata o:title=""/>
              <o:lock v:ext="edit" aspectratio="f"/>
              <v:textbox inset="0mm,0mm,0mm,0mm" style="mso-fit-shape-to-text:t;">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9rB6DeAgAAJAYAAA4AAAAAAAAAAQAgAAAAHwEAAGRycy9lMm9Eb2MueG1sUEsF&#10;BgAAAAAGAAYAWQEAAG8GAAAAAA==&#10;">
              <v:fill on="f" focussize="0,0"/>
              <v:stroke on="f" weight="0.5pt"/>
              <v:imagedata o:title=""/>
              <o:lock v:ext="edit" aspectratio="f"/>
              <v:textbox inset="0mm,0mm,0mm,0mm" style="mso-fit-shape-to-text:t;">
                <w:txbxContent>
                  <w:p>
                    <w:pPr>
                      <w:pStyle w:val="11"/>
                      <w:ind w:left="0" w:leftChars="0" w:firstLine="0" w:firstLineChars="0"/>
                      <w:rPr>
                        <w:rFonts w:hint="eastAsia"/>
                        <w:lang w:val="en-US" w:eastAsia="zh-CN"/>
                      </w:rPr>
                    </w:pPr>
                  </w:p>
                </w:txbxContent>
              </v:textbox>
            </v:shape>
          </w:pict>
        </mc:Fallback>
      </mc:AlternateContent>
    </w:r>
    <w:r>
      <w:rPr>
        <w:rFonts w:hint="eastAsia" w:ascii="宋体" w:hAnsi="宋体" w:eastAsia="宋体"/>
        <w:sz w:val="21"/>
        <w:szCs w:val="21"/>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rFtqPeAgAAJAYAAA4AAAAAAAAAAQAgAAAAHwEAAGRycy9lMm9Eb2MueG1sUEsF&#10;BgAAAAAGAAYAWQEAAG8GAAAAAA==&#10;">
              <v:fill on="f" focussize="0,0"/>
              <v:stroke on="f" weight="0.5pt"/>
              <v:imagedata o:title=""/>
              <o:lock v:ext="edit" aspectratio="f"/>
              <v:textbox inset="0mm,0mm,0mm,0mm" style="mso-fit-shape-to-text:t;">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line="240" w:lineRule="auto"/>
      <w:ind w:firstLine="0" w:firstLineChars="0"/>
      <w:rPr>
        <w:rFonts w:eastAsia="等线"/>
        <w:sz w:val="18"/>
        <w:szCs w:val="18"/>
      </w:rPr>
    </w:pPr>
    <w:r>
      <w:rPr>
        <w:rFonts w:eastAsia="等线"/>
        <w:sz w:val="18"/>
        <w:szCs w:val="18"/>
      </w:rPr>
      <w:drawing>
        <wp:inline distT="0" distB="0" distL="0" distR="0">
          <wp:extent cx="1066800" cy="279400"/>
          <wp:effectExtent l="0" t="0" r="0" b="0"/>
          <wp:docPr id="1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279400"/>
                  </a:xfrm>
                  <a:prstGeom prst="rect">
                    <a:avLst/>
                  </a:prstGeom>
                  <a:noFill/>
                  <a:ln>
                    <a:noFill/>
                  </a:ln>
                </pic:spPr>
              </pic:pic>
            </a:graphicData>
          </a:graphic>
        </wp:inline>
      </w:drawing>
    </w:r>
    <w:r>
      <w:rPr>
        <w:rFonts w:eastAsia="等线"/>
        <w:sz w:val="18"/>
        <w:szCs w:val="18"/>
      </w:rPr>
      <w:t xml:space="preserve">                       </w:t>
    </w:r>
    <w:r>
      <w:rPr>
        <w:rFonts w:ascii="Times New Roman" w:hAnsi="Times New Roman" w:eastAsia="等线"/>
        <w:sz w:val="18"/>
        <w:szCs w:val="18"/>
      </w:rPr>
      <w:t>2019</w:t>
    </w:r>
    <w:r>
      <w:rPr>
        <w:rFonts w:hint="eastAsia" w:eastAsia="等线"/>
        <w:sz w:val="18"/>
        <w:szCs w:val="18"/>
      </w:rPr>
      <w:t>年度宜春市保障性住房专项资金项目绩效评价报告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line="240" w:lineRule="auto"/>
      <w:ind w:firstLine="0" w:firstLineChars="0"/>
      <w:jc w:val="left"/>
      <w:rPr>
        <w:rFonts w:eastAsia="等线"/>
        <w:sz w:val="18"/>
        <w:szCs w:val="18"/>
      </w:rPr>
    </w:pPr>
    <w:r>
      <w:rPr>
        <w:rFonts w:eastAsia="等线"/>
        <w:sz w:val="18"/>
        <w:szCs w:val="18"/>
      </w:rPr>
      <w:drawing>
        <wp:inline distT="0" distB="0" distL="0" distR="0">
          <wp:extent cx="1066800" cy="279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279400"/>
                  </a:xfrm>
                  <a:prstGeom prst="rect">
                    <a:avLst/>
                  </a:prstGeom>
                  <a:noFill/>
                  <a:ln>
                    <a:noFill/>
                  </a:ln>
                </pic:spPr>
              </pic:pic>
            </a:graphicData>
          </a:graphic>
        </wp:inline>
      </w:drawing>
    </w:r>
    <w:r>
      <w:rPr>
        <w:rFonts w:eastAsia="等线"/>
        <w:sz w:val="18"/>
        <w:szCs w:val="18"/>
      </w:rPr>
      <w:t xml:space="preserve">                   </w:t>
    </w:r>
    <w:r>
      <w:rPr>
        <w:rFonts w:hint="eastAsia" w:eastAsia="等线"/>
        <w:sz w:val="18"/>
        <w:szCs w:val="18"/>
      </w:rPr>
      <w:t xml:space="preserve">   </w:t>
    </w:r>
    <w:r>
      <w:rPr>
        <w:rFonts w:ascii="Times New Roman" w:hAnsi="Times New Roman" w:eastAsia="等线"/>
        <w:sz w:val="18"/>
        <w:szCs w:val="18"/>
      </w:rPr>
      <w:t>2019</w:t>
    </w:r>
    <w:r>
      <w:rPr>
        <w:rFonts w:hint="eastAsia" w:eastAsia="等线"/>
        <w:sz w:val="18"/>
        <w:szCs w:val="18"/>
      </w:rPr>
      <w:t>年度宜春市保障性住房专项资金项目绩效评价报告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8B"/>
    <w:rsid w:val="00000B2B"/>
    <w:rsid w:val="000023F3"/>
    <w:rsid w:val="000068BD"/>
    <w:rsid w:val="0001217E"/>
    <w:rsid w:val="00012D9C"/>
    <w:rsid w:val="0001320F"/>
    <w:rsid w:val="00014F4C"/>
    <w:rsid w:val="00017B00"/>
    <w:rsid w:val="000259E2"/>
    <w:rsid w:val="000323AA"/>
    <w:rsid w:val="00033CB0"/>
    <w:rsid w:val="00035673"/>
    <w:rsid w:val="00042DF6"/>
    <w:rsid w:val="00043834"/>
    <w:rsid w:val="0004460B"/>
    <w:rsid w:val="0004531C"/>
    <w:rsid w:val="00051ABE"/>
    <w:rsid w:val="00055982"/>
    <w:rsid w:val="000611F6"/>
    <w:rsid w:val="000618A4"/>
    <w:rsid w:val="00062BED"/>
    <w:rsid w:val="00065FF3"/>
    <w:rsid w:val="00071764"/>
    <w:rsid w:val="00082B2C"/>
    <w:rsid w:val="00086A52"/>
    <w:rsid w:val="00093706"/>
    <w:rsid w:val="000956C5"/>
    <w:rsid w:val="000A1181"/>
    <w:rsid w:val="000B5F89"/>
    <w:rsid w:val="000B6358"/>
    <w:rsid w:val="000B6B8F"/>
    <w:rsid w:val="000B71D8"/>
    <w:rsid w:val="000B7798"/>
    <w:rsid w:val="000C0625"/>
    <w:rsid w:val="000C1780"/>
    <w:rsid w:val="000C4986"/>
    <w:rsid w:val="000C7004"/>
    <w:rsid w:val="000D157B"/>
    <w:rsid w:val="000D547C"/>
    <w:rsid w:val="000E0F96"/>
    <w:rsid w:val="000E12BD"/>
    <w:rsid w:val="000E2597"/>
    <w:rsid w:val="000E4DBB"/>
    <w:rsid w:val="000F2283"/>
    <w:rsid w:val="000F6EEE"/>
    <w:rsid w:val="000F732D"/>
    <w:rsid w:val="00110D20"/>
    <w:rsid w:val="00112E7E"/>
    <w:rsid w:val="00114EF9"/>
    <w:rsid w:val="00116F1C"/>
    <w:rsid w:val="00120E02"/>
    <w:rsid w:val="00123713"/>
    <w:rsid w:val="00123889"/>
    <w:rsid w:val="001241D2"/>
    <w:rsid w:val="00124C23"/>
    <w:rsid w:val="00125162"/>
    <w:rsid w:val="0013006C"/>
    <w:rsid w:val="0014217A"/>
    <w:rsid w:val="00144CDD"/>
    <w:rsid w:val="00151BD1"/>
    <w:rsid w:val="001572E9"/>
    <w:rsid w:val="00171ABD"/>
    <w:rsid w:val="001762FB"/>
    <w:rsid w:val="001772C3"/>
    <w:rsid w:val="00181E04"/>
    <w:rsid w:val="00190A59"/>
    <w:rsid w:val="00190F60"/>
    <w:rsid w:val="00192849"/>
    <w:rsid w:val="001A0804"/>
    <w:rsid w:val="001A2A48"/>
    <w:rsid w:val="001B6238"/>
    <w:rsid w:val="001C038D"/>
    <w:rsid w:val="001C0643"/>
    <w:rsid w:val="001C3C00"/>
    <w:rsid w:val="001C5315"/>
    <w:rsid w:val="001C5B57"/>
    <w:rsid w:val="001D3CA1"/>
    <w:rsid w:val="001D6BF2"/>
    <w:rsid w:val="001D7026"/>
    <w:rsid w:val="001E06B1"/>
    <w:rsid w:val="001E1B9A"/>
    <w:rsid w:val="001E1B9D"/>
    <w:rsid w:val="00206120"/>
    <w:rsid w:val="0021779A"/>
    <w:rsid w:val="002239A2"/>
    <w:rsid w:val="002278B0"/>
    <w:rsid w:val="002349FC"/>
    <w:rsid w:val="00234F2E"/>
    <w:rsid w:val="00236622"/>
    <w:rsid w:val="00237CF0"/>
    <w:rsid w:val="00240A93"/>
    <w:rsid w:val="00243AD3"/>
    <w:rsid w:val="00247497"/>
    <w:rsid w:val="00266079"/>
    <w:rsid w:val="00275AFA"/>
    <w:rsid w:val="002904F2"/>
    <w:rsid w:val="00291654"/>
    <w:rsid w:val="00295A67"/>
    <w:rsid w:val="0029730D"/>
    <w:rsid w:val="002A4CA0"/>
    <w:rsid w:val="002A5463"/>
    <w:rsid w:val="002A7285"/>
    <w:rsid w:val="002B7747"/>
    <w:rsid w:val="002C0C56"/>
    <w:rsid w:val="002C3FCC"/>
    <w:rsid w:val="002C4EA3"/>
    <w:rsid w:val="002D1F76"/>
    <w:rsid w:val="002D406C"/>
    <w:rsid w:val="002E4CB2"/>
    <w:rsid w:val="002F1AB7"/>
    <w:rsid w:val="002F4BD4"/>
    <w:rsid w:val="002F4CF4"/>
    <w:rsid w:val="00303597"/>
    <w:rsid w:val="00307667"/>
    <w:rsid w:val="0031344A"/>
    <w:rsid w:val="003147EF"/>
    <w:rsid w:val="003229AC"/>
    <w:rsid w:val="00323F86"/>
    <w:rsid w:val="00325939"/>
    <w:rsid w:val="00333FE7"/>
    <w:rsid w:val="00334955"/>
    <w:rsid w:val="00334C2A"/>
    <w:rsid w:val="003401E4"/>
    <w:rsid w:val="00342529"/>
    <w:rsid w:val="00342A3B"/>
    <w:rsid w:val="00342C44"/>
    <w:rsid w:val="00355488"/>
    <w:rsid w:val="003556B6"/>
    <w:rsid w:val="003559AD"/>
    <w:rsid w:val="00355DFF"/>
    <w:rsid w:val="00367724"/>
    <w:rsid w:val="003717E7"/>
    <w:rsid w:val="0038241D"/>
    <w:rsid w:val="00385C08"/>
    <w:rsid w:val="0038612B"/>
    <w:rsid w:val="00386691"/>
    <w:rsid w:val="003877D8"/>
    <w:rsid w:val="00397894"/>
    <w:rsid w:val="003A1D59"/>
    <w:rsid w:val="003A24F6"/>
    <w:rsid w:val="003B291E"/>
    <w:rsid w:val="003B68A2"/>
    <w:rsid w:val="003B7C42"/>
    <w:rsid w:val="003C3571"/>
    <w:rsid w:val="003C3F7D"/>
    <w:rsid w:val="003C6149"/>
    <w:rsid w:val="003D4CB7"/>
    <w:rsid w:val="003D7F0F"/>
    <w:rsid w:val="003E0D24"/>
    <w:rsid w:val="003E4363"/>
    <w:rsid w:val="003F1E72"/>
    <w:rsid w:val="003F33C5"/>
    <w:rsid w:val="003F476B"/>
    <w:rsid w:val="003F5EC0"/>
    <w:rsid w:val="003F6494"/>
    <w:rsid w:val="0040018B"/>
    <w:rsid w:val="00403F2E"/>
    <w:rsid w:val="0040406F"/>
    <w:rsid w:val="004041FB"/>
    <w:rsid w:val="004042AC"/>
    <w:rsid w:val="004048D7"/>
    <w:rsid w:val="00411847"/>
    <w:rsid w:val="00412BC7"/>
    <w:rsid w:val="00412D31"/>
    <w:rsid w:val="00413091"/>
    <w:rsid w:val="0041452D"/>
    <w:rsid w:val="0041639B"/>
    <w:rsid w:val="00420D59"/>
    <w:rsid w:val="004237FA"/>
    <w:rsid w:val="00423B74"/>
    <w:rsid w:val="00432998"/>
    <w:rsid w:val="00432C19"/>
    <w:rsid w:val="004408BA"/>
    <w:rsid w:val="0044463B"/>
    <w:rsid w:val="00446C18"/>
    <w:rsid w:val="00450062"/>
    <w:rsid w:val="00452D25"/>
    <w:rsid w:val="0046083C"/>
    <w:rsid w:val="00460E23"/>
    <w:rsid w:val="004620EE"/>
    <w:rsid w:val="004637FB"/>
    <w:rsid w:val="00470BC0"/>
    <w:rsid w:val="00471B9F"/>
    <w:rsid w:val="0047299E"/>
    <w:rsid w:val="00477225"/>
    <w:rsid w:val="00477DF9"/>
    <w:rsid w:val="004805F2"/>
    <w:rsid w:val="00481D4D"/>
    <w:rsid w:val="0048583E"/>
    <w:rsid w:val="00486C59"/>
    <w:rsid w:val="00491224"/>
    <w:rsid w:val="004977D3"/>
    <w:rsid w:val="004A1029"/>
    <w:rsid w:val="004A28AD"/>
    <w:rsid w:val="004A2B3B"/>
    <w:rsid w:val="004A4CD1"/>
    <w:rsid w:val="004B04DE"/>
    <w:rsid w:val="004B174D"/>
    <w:rsid w:val="004B5C3F"/>
    <w:rsid w:val="004B5F3A"/>
    <w:rsid w:val="004B6703"/>
    <w:rsid w:val="004C0543"/>
    <w:rsid w:val="004C146C"/>
    <w:rsid w:val="004C1C97"/>
    <w:rsid w:val="004C2314"/>
    <w:rsid w:val="004C4137"/>
    <w:rsid w:val="004D368E"/>
    <w:rsid w:val="004D4186"/>
    <w:rsid w:val="004D640C"/>
    <w:rsid w:val="004D68AA"/>
    <w:rsid w:val="004E30BF"/>
    <w:rsid w:val="004F1076"/>
    <w:rsid w:val="004F2489"/>
    <w:rsid w:val="004F5F02"/>
    <w:rsid w:val="004F6985"/>
    <w:rsid w:val="0050156A"/>
    <w:rsid w:val="0050208C"/>
    <w:rsid w:val="00512517"/>
    <w:rsid w:val="00514F41"/>
    <w:rsid w:val="00527D70"/>
    <w:rsid w:val="00534819"/>
    <w:rsid w:val="0053555F"/>
    <w:rsid w:val="005401AC"/>
    <w:rsid w:val="0054028F"/>
    <w:rsid w:val="00542A6C"/>
    <w:rsid w:val="00545B9E"/>
    <w:rsid w:val="00546F8A"/>
    <w:rsid w:val="00547D1F"/>
    <w:rsid w:val="00551067"/>
    <w:rsid w:val="00561791"/>
    <w:rsid w:val="00563D4E"/>
    <w:rsid w:val="00565BCF"/>
    <w:rsid w:val="00565CE0"/>
    <w:rsid w:val="00582EED"/>
    <w:rsid w:val="00584884"/>
    <w:rsid w:val="00585248"/>
    <w:rsid w:val="005927CF"/>
    <w:rsid w:val="005A09D5"/>
    <w:rsid w:val="005B43B1"/>
    <w:rsid w:val="005B594D"/>
    <w:rsid w:val="005C1667"/>
    <w:rsid w:val="005C7DA5"/>
    <w:rsid w:val="005D539E"/>
    <w:rsid w:val="005D6D67"/>
    <w:rsid w:val="005D7B28"/>
    <w:rsid w:val="005E16E9"/>
    <w:rsid w:val="005E1DE3"/>
    <w:rsid w:val="005E23A4"/>
    <w:rsid w:val="005E586E"/>
    <w:rsid w:val="005E65F9"/>
    <w:rsid w:val="005E7998"/>
    <w:rsid w:val="00600FF8"/>
    <w:rsid w:val="006018F4"/>
    <w:rsid w:val="0060253A"/>
    <w:rsid w:val="00603404"/>
    <w:rsid w:val="00604C68"/>
    <w:rsid w:val="00607E1A"/>
    <w:rsid w:val="0061690C"/>
    <w:rsid w:val="00617B92"/>
    <w:rsid w:val="006216C7"/>
    <w:rsid w:val="00623ECF"/>
    <w:rsid w:val="006242C3"/>
    <w:rsid w:val="00625F12"/>
    <w:rsid w:val="0062666F"/>
    <w:rsid w:val="006266AE"/>
    <w:rsid w:val="00642021"/>
    <w:rsid w:val="00644AEB"/>
    <w:rsid w:val="006458BF"/>
    <w:rsid w:val="00645959"/>
    <w:rsid w:val="00650572"/>
    <w:rsid w:val="006516C6"/>
    <w:rsid w:val="00651AA9"/>
    <w:rsid w:val="00651DAF"/>
    <w:rsid w:val="006536D2"/>
    <w:rsid w:val="006572A7"/>
    <w:rsid w:val="0066672F"/>
    <w:rsid w:val="0068449F"/>
    <w:rsid w:val="00685A61"/>
    <w:rsid w:val="006870DE"/>
    <w:rsid w:val="006932C1"/>
    <w:rsid w:val="006967AB"/>
    <w:rsid w:val="006A19ED"/>
    <w:rsid w:val="006A21DB"/>
    <w:rsid w:val="006A389C"/>
    <w:rsid w:val="006A3D23"/>
    <w:rsid w:val="006A674A"/>
    <w:rsid w:val="006B25A3"/>
    <w:rsid w:val="006C1F3A"/>
    <w:rsid w:val="006C1FA8"/>
    <w:rsid w:val="006C52A6"/>
    <w:rsid w:val="006D250A"/>
    <w:rsid w:val="006D64F4"/>
    <w:rsid w:val="006D75DB"/>
    <w:rsid w:val="006F46AC"/>
    <w:rsid w:val="006F748F"/>
    <w:rsid w:val="007034C1"/>
    <w:rsid w:val="00705AC0"/>
    <w:rsid w:val="00710220"/>
    <w:rsid w:val="007150B9"/>
    <w:rsid w:val="007213BA"/>
    <w:rsid w:val="00726707"/>
    <w:rsid w:val="007309CA"/>
    <w:rsid w:val="00732889"/>
    <w:rsid w:val="00735ECF"/>
    <w:rsid w:val="00736E45"/>
    <w:rsid w:val="007405DE"/>
    <w:rsid w:val="0074654B"/>
    <w:rsid w:val="007472E6"/>
    <w:rsid w:val="007514ED"/>
    <w:rsid w:val="0076255D"/>
    <w:rsid w:val="0076637A"/>
    <w:rsid w:val="0077007D"/>
    <w:rsid w:val="007711B5"/>
    <w:rsid w:val="00772EED"/>
    <w:rsid w:val="00773AB5"/>
    <w:rsid w:val="00773CA6"/>
    <w:rsid w:val="00774327"/>
    <w:rsid w:val="00776A6C"/>
    <w:rsid w:val="007828EE"/>
    <w:rsid w:val="0079031D"/>
    <w:rsid w:val="0079162F"/>
    <w:rsid w:val="007924B7"/>
    <w:rsid w:val="007A7436"/>
    <w:rsid w:val="007C3BE5"/>
    <w:rsid w:val="007C6854"/>
    <w:rsid w:val="007C6E49"/>
    <w:rsid w:val="007D44B9"/>
    <w:rsid w:val="007D726B"/>
    <w:rsid w:val="007E7C6F"/>
    <w:rsid w:val="007F5B04"/>
    <w:rsid w:val="007F7DFF"/>
    <w:rsid w:val="007F7FB0"/>
    <w:rsid w:val="008028C9"/>
    <w:rsid w:val="00803BA4"/>
    <w:rsid w:val="008078D8"/>
    <w:rsid w:val="0081221D"/>
    <w:rsid w:val="00813581"/>
    <w:rsid w:val="008137E2"/>
    <w:rsid w:val="00813E5D"/>
    <w:rsid w:val="00815B3C"/>
    <w:rsid w:val="0082005E"/>
    <w:rsid w:val="00820278"/>
    <w:rsid w:val="00823B5A"/>
    <w:rsid w:val="00824545"/>
    <w:rsid w:val="0082455E"/>
    <w:rsid w:val="00824569"/>
    <w:rsid w:val="00824C7B"/>
    <w:rsid w:val="00826228"/>
    <w:rsid w:val="008303A9"/>
    <w:rsid w:val="00832327"/>
    <w:rsid w:val="00833A7A"/>
    <w:rsid w:val="00836A3C"/>
    <w:rsid w:val="008404BE"/>
    <w:rsid w:val="008419BF"/>
    <w:rsid w:val="00845626"/>
    <w:rsid w:val="00846125"/>
    <w:rsid w:val="00847BE2"/>
    <w:rsid w:val="008540F8"/>
    <w:rsid w:val="00863D32"/>
    <w:rsid w:val="0086602F"/>
    <w:rsid w:val="00870472"/>
    <w:rsid w:val="00873264"/>
    <w:rsid w:val="008778B0"/>
    <w:rsid w:val="00877AC3"/>
    <w:rsid w:val="00885B8A"/>
    <w:rsid w:val="008869DB"/>
    <w:rsid w:val="00886FF6"/>
    <w:rsid w:val="00890FE6"/>
    <w:rsid w:val="0089292C"/>
    <w:rsid w:val="00892ADE"/>
    <w:rsid w:val="00897DFD"/>
    <w:rsid w:val="008A074D"/>
    <w:rsid w:val="008A553E"/>
    <w:rsid w:val="008B0F36"/>
    <w:rsid w:val="008B36B9"/>
    <w:rsid w:val="008B5C08"/>
    <w:rsid w:val="008B7AAA"/>
    <w:rsid w:val="008C24ED"/>
    <w:rsid w:val="008C4912"/>
    <w:rsid w:val="008C58A2"/>
    <w:rsid w:val="008D7C1C"/>
    <w:rsid w:val="008E147D"/>
    <w:rsid w:val="008F3ACB"/>
    <w:rsid w:val="008F4243"/>
    <w:rsid w:val="00907E3C"/>
    <w:rsid w:val="0091748A"/>
    <w:rsid w:val="00917D09"/>
    <w:rsid w:val="00927063"/>
    <w:rsid w:val="009271E5"/>
    <w:rsid w:val="00927557"/>
    <w:rsid w:val="009305B0"/>
    <w:rsid w:val="00931277"/>
    <w:rsid w:val="00936910"/>
    <w:rsid w:val="00940415"/>
    <w:rsid w:val="00941458"/>
    <w:rsid w:val="00943BB4"/>
    <w:rsid w:val="0094556C"/>
    <w:rsid w:val="009559E6"/>
    <w:rsid w:val="00964DC2"/>
    <w:rsid w:val="00981109"/>
    <w:rsid w:val="0098141B"/>
    <w:rsid w:val="009A0966"/>
    <w:rsid w:val="009A17DE"/>
    <w:rsid w:val="009A1F47"/>
    <w:rsid w:val="009B38C9"/>
    <w:rsid w:val="009B4077"/>
    <w:rsid w:val="009B7C8D"/>
    <w:rsid w:val="009C273C"/>
    <w:rsid w:val="009C2D19"/>
    <w:rsid w:val="009C30B9"/>
    <w:rsid w:val="009C4EA2"/>
    <w:rsid w:val="009C58A3"/>
    <w:rsid w:val="009C6C5A"/>
    <w:rsid w:val="009D0CD0"/>
    <w:rsid w:val="009D43D9"/>
    <w:rsid w:val="009D6980"/>
    <w:rsid w:val="009E1CCC"/>
    <w:rsid w:val="009E3D21"/>
    <w:rsid w:val="009E4E98"/>
    <w:rsid w:val="009E5C48"/>
    <w:rsid w:val="009F2608"/>
    <w:rsid w:val="00A03412"/>
    <w:rsid w:val="00A03AC9"/>
    <w:rsid w:val="00A050E9"/>
    <w:rsid w:val="00A1107C"/>
    <w:rsid w:val="00A11F30"/>
    <w:rsid w:val="00A165D1"/>
    <w:rsid w:val="00A2441C"/>
    <w:rsid w:val="00A259D2"/>
    <w:rsid w:val="00A346A0"/>
    <w:rsid w:val="00A35274"/>
    <w:rsid w:val="00A41072"/>
    <w:rsid w:val="00A43DCC"/>
    <w:rsid w:val="00A47BEB"/>
    <w:rsid w:val="00A578FB"/>
    <w:rsid w:val="00A7119E"/>
    <w:rsid w:val="00A7299B"/>
    <w:rsid w:val="00A73516"/>
    <w:rsid w:val="00A81662"/>
    <w:rsid w:val="00A8293A"/>
    <w:rsid w:val="00A868D3"/>
    <w:rsid w:val="00A938FB"/>
    <w:rsid w:val="00AA1E28"/>
    <w:rsid w:val="00AA390D"/>
    <w:rsid w:val="00AA55E6"/>
    <w:rsid w:val="00AA6980"/>
    <w:rsid w:val="00AB0A40"/>
    <w:rsid w:val="00AC0971"/>
    <w:rsid w:val="00AC6BC2"/>
    <w:rsid w:val="00AC72F0"/>
    <w:rsid w:val="00AD4A3C"/>
    <w:rsid w:val="00AE109A"/>
    <w:rsid w:val="00AE5AC3"/>
    <w:rsid w:val="00AF2E9C"/>
    <w:rsid w:val="00AF48D8"/>
    <w:rsid w:val="00B217F3"/>
    <w:rsid w:val="00B335E1"/>
    <w:rsid w:val="00B33E1E"/>
    <w:rsid w:val="00B3530A"/>
    <w:rsid w:val="00B42D9B"/>
    <w:rsid w:val="00B442BE"/>
    <w:rsid w:val="00B478D1"/>
    <w:rsid w:val="00B56D60"/>
    <w:rsid w:val="00B7217B"/>
    <w:rsid w:val="00B72698"/>
    <w:rsid w:val="00B76A02"/>
    <w:rsid w:val="00B774A3"/>
    <w:rsid w:val="00B77AB5"/>
    <w:rsid w:val="00B83A4B"/>
    <w:rsid w:val="00B858AC"/>
    <w:rsid w:val="00B96D44"/>
    <w:rsid w:val="00BA2C31"/>
    <w:rsid w:val="00BA45E4"/>
    <w:rsid w:val="00BA5BFD"/>
    <w:rsid w:val="00BA6D61"/>
    <w:rsid w:val="00BB191F"/>
    <w:rsid w:val="00BC6E80"/>
    <w:rsid w:val="00BD12CD"/>
    <w:rsid w:val="00BD7E62"/>
    <w:rsid w:val="00BE0272"/>
    <w:rsid w:val="00BE3D4F"/>
    <w:rsid w:val="00BF120B"/>
    <w:rsid w:val="00BF3403"/>
    <w:rsid w:val="00C02ACC"/>
    <w:rsid w:val="00C048CA"/>
    <w:rsid w:val="00C04F53"/>
    <w:rsid w:val="00C126BF"/>
    <w:rsid w:val="00C172A9"/>
    <w:rsid w:val="00C24ACC"/>
    <w:rsid w:val="00C25864"/>
    <w:rsid w:val="00C30039"/>
    <w:rsid w:val="00C34DFC"/>
    <w:rsid w:val="00C3539A"/>
    <w:rsid w:val="00C37172"/>
    <w:rsid w:val="00C419A9"/>
    <w:rsid w:val="00C45B7A"/>
    <w:rsid w:val="00C513BC"/>
    <w:rsid w:val="00C51A8A"/>
    <w:rsid w:val="00C6315C"/>
    <w:rsid w:val="00C67874"/>
    <w:rsid w:val="00C74F75"/>
    <w:rsid w:val="00C76CBD"/>
    <w:rsid w:val="00C835F1"/>
    <w:rsid w:val="00C8639E"/>
    <w:rsid w:val="00C8671E"/>
    <w:rsid w:val="00C970AC"/>
    <w:rsid w:val="00CA2B51"/>
    <w:rsid w:val="00CA3936"/>
    <w:rsid w:val="00CA60BB"/>
    <w:rsid w:val="00CB1F57"/>
    <w:rsid w:val="00CC4A09"/>
    <w:rsid w:val="00CC4EA2"/>
    <w:rsid w:val="00CC649D"/>
    <w:rsid w:val="00CC6CF1"/>
    <w:rsid w:val="00CD1244"/>
    <w:rsid w:val="00CD3CBC"/>
    <w:rsid w:val="00CE04B9"/>
    <w:rsid w:val="00CE5169"/>
    <w:rsid w:val="00CE7F98"/>
    <w:rsid w:val="00CF6716"/>
    <w:rsid w:val="00D03EF7"/>
    <w:rsid w:val="00D044BB"/>
    <w:rsid w:val="00D068BA"/>
    <w:rsid w:val="00D10B4B"/>
    <w:rsid w:val="00D11080"/>
    <w:rsid w:val="00D17EF2"/>
    <w:rsid w:val="00D21F05"/>
    <w:rsid w:val="00D22A3C"/>
    <w:rsid w:val="00D23915"/>
    <w:rsid w:val="00D24884"/>
    <w:rsid w:val="00D368DD"/>
    <w:rsid w:val="00D4070D"/>
    <w:rsid w:val="00D4132E"/>
    <w:rsid w:val="00D4510D"/>
    <w:rsid w:val="00D45291"/>
    <w:rsid w:val="00D45914"/>
    <w:rsid w:val="00D504C7"/>
    <w:rsid w:val="00D506DB"/>
    <w:rsid w:val="00D50D26"/>
    <w:rsid w:val="00D51059"/>
    <w:rsid w:val="00D53828"/>
    <w:rsid w:val="00D5525B"/>
    <w:rsid w:val="00D600E4"/>
    <w:rsid w:val="00D62AAD"/>
    <w:rsid w:val="00D7051B"/>
    <w:rsid w:val="00D7139D"/>
    <w:rsid w:val="00D72A3B"/>
    <w:rsid w:val="00D742D3"/>
    <w:rsid w:val="00D74386"/>
    <w:rsid w:val="00D849A7"/>
    <w:rsid w:val="00D85773"/>
    <w:rsid w:val="00D863C9"/>
    <w:rsid w:val="00D87487"/>
    <w:rsid w:val="00D94A26"/>
    <w:rsid w:val="00DA3690"/>
    <w:rsid w:val="00DA63D8"/>
    <w:rsid w:val="00DB24DF"/>
    <w:rsid w:val="00DB282B"/>
    <w:rsid w:val="00DB2D6B"/>
    <w:rsid w:val="00DC1129"/>
    <w:rsid w:val="00DC1E36"/>
    <w:rsid w:val="00DC3AB2"/>
    <w:rsid w:val="00DC5A1A"/>
    <w:rsid w:val="00DC6706"/>
    <w:rsid w:val="00DD0DEF"/>
    <w:rsid w:val="00DE1834"/>
    <w:rsid w:val="00DE5FD3"/>
    <w:rsid w:val="00DE6613"/>
    <w:rsid w:val="00DF3087"/>
    <w:rsid w:val="00DF5221"/>
    <w:rsid w:val="00DF5B15"/>
    <w:rsid w:val="00E01C8E"/>
    <w:rsid w:val="00E176BB"/>
    <w:rsid w:val="00E235C4"/>
    <w:rsid w:val="00E23D0B"/>
    <w:rsid w:val="00E27B35"/>
    <w:rsid w:val="00E30C87"/>
    <w:rsid w:val="00E373F0"/>
    <w:rsid w:val="00E414C0"/>
    <w:rsid w:val="00E41BBF"/>
    <w:rsid w:val="00E440FF"/>
    <w:rsid w:val="00E461F5"/>
    <w:rsid w:val="00E54234"/>
    <w:rsid w:val="00E61866"/>
    <w:rsid w:val="00E63056"/>
    <w:rsid w:val="00E718D4"/>
    <w:rsid w:val="00E72E1C"/>
    <w:rsid w:val="00E766CB"/>
    <w:rsid w:val="00E77B6C"/>
    <w:rsid w:val="00E77D76"/>
    <w:rsid w:val="00E82DA0"/>
    <w:rsid w:val="00E86FCA"/>
    <w:rsid w:val="00E87CF7"/>
    <w:rsid w:val="00E9257A"/>
    <w:rsid w:val="00EB3144"/>
    <w:rsid w:val="00EB7BDE"/>
    <w:rsid w:val="00EC20A7"/>
    <w:rsid w:val="00EC3B37"/>
    <w:rsid w:val="00EC4113"/>
    <w:rsid w:val="00EC4BB6"/>
    <w:rsid w:val="00EC4BDA"/>
    <w:rsid w:val="00EC79F0"/>
    <w:rsid w:val="00ED0DC9"/>
    <w:rsid w:val="00EE3A28"/>
    <w:rsid w:val="00EE77A8"/>
    <w:rsid w:val="00EF096D"/>
    <w:rsid w:val="00EF1D25"/>
    <w:rsid w:val="00EF4718"/>
    <w:rsid w:val="00EF4E53"/>
    <w:rsid w:val="00EF702F"/>
    <w:rsid w:val="00EF7940"/>
    <w:rsid w:val="00F00234"/>
    <w:rsid w:val="00F04F06"/>
    <w:rsid w:val="00F0603C"/>
    <w:rsid w:val="00F06382"/>
    <w:rsid w:val="00F22F30"/>
    <w:rsid w:val="00F271B5"/>
    <w:rsid w:val="00F3108D"/>
    <w:rsid w:val="00F3163F"/>
    <w:rsid w:val="00F33743"/>
    <w:rsid w:val="00F34282"/>
    <w:rsid w:val="00F35144"/>
    <w:rsid w:val="00F45DE5"/>
    <w:rsid w:val="00F4663D"/>
    <w:rsid w:val="00F46849"/>
    <w:rsid w:val="00F53FBD"/>
    <w:rsid w:val="00F57F51"/>
    <w:rsid w:val="00F8143E"/>
    <w:rsid w:val="00F82844"/>
    <w:rsid w:val="00F83B21"/>
    <w:rsid w:val="00F841B6"/>
    <w:rsid w:val="00F85DB2"/>
    <w:rsid w:val="00F91680"/>
    <w:rsid w:val="00F93764"/>
    <w:rsid w:val="00F9428D"/>
    <w:rsid w:val="00F95D5D"/>
    <w:rsid w:val="00F96E2D"/>
    <w:rsid w:val="00FA1B8E"/>
    <w:rsid w:val="00FB2F70"/>
    <w:rsid w:val="00FB7704"/>
    <w:rsid w:val="00FC59C4"/>
    <w:rsid w:val="00FC7A4F"/>
    <w:rsid w:val="00FD0861"/>
    <w:rsid w:val="00FD16B3"/>
    <w:rsid w:val="00FD1E55"/>
    <w:rsid w:val="00FE1062"/>
    <w:rsid w:val="00FE3FCD"/>
    <w:rsid w:val="00FF2063"/>
    <w:rsid w:val="00FF7845"/>
    <w:rsid w:val="01D13DD7"/>
    <w:rsid w:val="01F9004D"/>
    <w:rsid w:val="03C81BFD"/>
    <w:rsid w:val="05775ACB"/>
    <w:rsid w:val="077972AC"/>
    <w:rsid w:val="08467F1E"/>
    <w:rsid w:val="095F5172"/>
    <w:rsid w:val="0D21357C"/>
    <w:rsid w:val="0E091254"/>
    <w:rsid w:val="0E171D65"/>
    <w:rsid w:val="0F5F4AAB"/>
    <w:rsid w:val="0F7E769A"/>
    <w:rsid w:val="10191B55"/>
    <w:rsid w:val="10DB50CF"/>
    <w:rsid w:val="1152555D"/>
    <w:rsid w:val="12463F8D"/>
    <w:rsid w:val="127B3075"/>
    <w:rsid w:val="14866DD1"/>
    <w:rsid w:val="153248FD"/>
    <w:rsid w:val="156302A1"/>
    <w:rsid w:val="163F7A42"/>
    <w:rsid w:val="173528BA"/>
    <w:rsid w:val="1988177F"/>
    <w:rsid w:val="19A5505A"/>
    <w:rsid w:val="1A887766"/>
    <w:rsid w:val="1AE30586"/>
    <w:rsid w:val="1D0843FC"/>
    <w:rsid w:val="1E1D35F9"/>
    <w:rsid w:val="1F7872B3"/>
    <w:rsid w:val="219159B6"/>
    <w:rsid w:val="224A75E2"/>
    <w:rsid w:val="25397420"/>
    <w:rsid w:val="257F0994"/>
    <w:rsid w:val="27170389"/>
    <w:rsid w:val="278E11A9"/>
    <w:rsid w:val="2854649D"/>
    <w:rsid w:val="2B4740B0"/>
    <w:rsid w:val="2C7B6589"/>
    <w:rsid w:val="2FD9758A"/>
    <w:rsid w:val="30651C41"/>
    <w:rsid w:val="31F2774F"/>
    <w:rsid w:val="33063C43"/>
    <w:rsid w:val="35847C55"/>
    <w:rsid w:val="35AE6CE3"/>
    <w:rsid w:val="36C5610B"/>
    <w:rsid w:val="3798000D"/>
    <w:rsid w:val="3A671D34"/>
    <w:rsid w:val="3A7A1F41"/>
    <w:rsid w:val="3B180AAC"/>
    <w:rsid w:val="3BE348EB"/>
    <w:rsid w:val="3CE143E5"/>
    <w:rsid w:val="3D734813"/>
    <w:rsid w:val="3F11458F"/>
    <w:rsid w:val="3FB73B5B"/>
    <w:rsid w:val="415C2AC9"/>
    <w:rsid w:val="42C514E3"/>
    <w:rsid w:val="45A30308"/>
    <w:rsid w:val="45E85586"/>
    <w:rsid w:val="47882919"/>
    <w:rsid w:val="4AE2317F"/>
    <w:rsid w:val="4BB055E1"/>
    <w:rsid w:val="4D103912"/>
    <w:rsid w:val="4D5B48E0"/>
    <w:rsid w:val="4EE24F30"/>
    <w:rsid w:val="53031A13"/>
    <w:rsid w:val="53070518"/>
    <w:rsid w:val="55000408"/>
    <w:rsid w:val="5D0563D7"/>
    <w:rsid w:val="5E4F2A24"/>
    <w:rsid w:val="60983136"/>
    <w:rsid w:val="60BF7279"/>
    <w:rsid w:val="633A6588"/>
    <w:rsid w:val="63FB3A26"/>
    <w:rsid w:val="642B1C75"/>
    <w:rsid w:val="654223ED"/>
    <w:rsid w:val="6553611C"/>
    <w:rsid w:val="66B70A9E"/>
    <w:rsid w:val="67FF47BF"/>
    <w:rsid w:val="683A7AD3"/>
    <w:rsid w:val="6F49721D"/>
    <w:rsid w:val="6F8E20BC"/>
    <w:rsid w:val="6FDD0C50"/>
    <w:rsid w:val="7003237B"/>
    <w:rsid w:val="709F07BF"/>
    <w:rsid w:val="724F4CFA"/>
    <w:rsid w:val="73EB7650"/>
    <w:rsid w:val="746D5A20"/>
    <w:rsid w:val="75FA001C"/>
    <w:rsid w:val="78002378"/>
    <w:rsid w:val="781C4B32"/>
    <w:rsid w:val="786A37BC"/>
    <w:rsid w:val="7A666658"/>
    <w:rsid w:val="7C3233C6"/>
    <w:rsid w:val="7CC669DC"/>
    <w:rsid w:val="7D307D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等线" w:hAnsi="等线" w:eastAsia="仿宋_GB2312" w:cs="Times New Roman"/>
      <w:kern w:val="2"/>
      <w:sz w:val="28"/>
      <w:szCs w:val="22"/>
      <w:lang w:val="en-US" w:eastAsia="zh-CN" w:bidi="ar-SA"/>
    </w:rPr>
  </w:style>
  <w:style w:type="paragraph" w:styleId="4">
    <w:name w:val="heading 1"/>
    <w:basedOn w:val="1"/>
    <w:next w:val="1"/>
    <w:link w:val="20"/>
    <w:qFormat/>
    <w:uiPriority w:val="99"/>
    <w:pPr>
      <w:ind w:firstLine="560"/>
      <w:outlineLvl w:val="0"/>
    </w:pPr>
    <w:rPr>
      <w:rFonts w:ascii="黑体" w:hAnsi="黑体" w:eastAsia="黑体"/>
      <w:bCs/>
      <w:szCs w:val="28"/>
    </w:rPr>
  </w:style>
  <w:style w:type="paragraph" w:styleId="5">
    <w:name w:val="heading 2"/>
    <w:basedOn w:val="1"/>
    <w:next w:val="1"/>
    <w:link w:val="21"/>
    <w:qFormat/>
    <w:uiPriority w:val="99"/>
    <w:pPr>
      <w:ind w:firstLine="562"/>
      <w:outlineLvl w:val="1"/>
    </w:pPr>
    <w:rPr>
      <w:rFonts w:ascii="Times New Roman" w:hAnsi="Times New Roman"/>
      <w:b/>
      <w:szCs w:val="28"/>
    </w:rPr>
  </w:style>
  <w:style w:type="paragraph" w:styleId="6">
    <w:name w:val="heading 3"/>
    <w:basedOn w:val="1"/>
    <w:next w:val="1"/>
    <w:link w:val="22"/>
    <w:qFormat/>
    <w:uiPriority w:val="99"/>
    <w:pPr>
      <w:ind w:firstLine="562"/>
      <w:outlineLvl w:val="2"/>
    </w:pPr>
    <w:rPr>
      <w:rFonts w:ascii="Times New Roman" w:hAnsi="Times New Roman"/>
      <w:b/>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4"/>
    <w:semiHidden/>
    <w:qFormat/>
    <w:uiPriority w:val="99"/>
    <w:pPr>
      <w:ind w:firstLine="420"/>
    </w:pPr>
  </w:style>
  <w:style w:type="paragraph" w:styleId="3">
    <w:name w:val="Body Text Indent"/>
    <w:basedOn w:val="1"/>
    <w:link w:val="23"/>
    <w:semiHidden/>
    <w:qFormat/>
    <w:uiPriority w:val="99"/>
    <w:pPr>
      <w:spacing w:after="120"/>
      <w:ind w:left="420" w:leftChars="200"/>
    </w:pPr>
  </w:style>
  <w:style w:type="paragraph" w:styleId="7">
    <w:name w:val="annotation text"/>
    <w:basedOn w:val="1"/>
    <w:link w:val="25"/>
    <w:semiHidden/>
    <w:qFormat/>
    <w:uiPriority w:val="99"/>
    <w:pPr>
      <w:jc w:val="left"/>
    </w:pPr>
  </w:style>
  <w:style w:type="paragraph" w:styleId="8">
    <w:name w:val="toc 3"/>
    <w:basedOn w:val="1"/>
    <w:next w:val="1"/>
    <w:qFormat/>
    <w:uiPriority w:val="99"/>
    <w:pPr>
      <w:ind w:left="840" w:leftChars="400"/>
    </w:pPr>
  </w:style>
  <w:style w:type="paragraph" w:styleId="9">
    <w:name w:val="Plain Text"/>
    <w:basedOn w:val="1"/>
    <w:link w:val="26"/>
    <w:qFormat/>
    <w:uiPriority w:val="99"/>
    <w:rPr>
      <w:rFonts w:ascii="宋体" w:hAnsi="Courier New" w:eastAsia="宋体"/>
      <w:szCs w:val="20"/>
    </w:rPr>
  </w:style>
  <w:style w:type="paragraph" w:styleId="10">
    <w:name w:val="Balloon Text"/>
    <w:basedOn w:val="1"/>
    <w:link w:val="27"/>
    <w:semiHidden/>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toc 2"/>
    <w:basedOn w:val="1"/>
    <w:next w:val="1"/>
    <w:uiPriority w:val="99"/>
    <w:pPr>
      <w:ind w:left="420" w:leftChars="200"/>
    </w:pPr>
  </w:style>
  <w:style w:type="paragraph" w:styleId="15">
    <w:name w:val="annotation subject"/>
    <w:basedOn w:val="7"/>
    <w:next w:val="7"/>
    <w:link w:val="30"/>
    <w:semiHidden/>
    <w:uiPriority w:val="99"/>
    <w:rPr>
      <w:b/>
      <w:bCs/>
    </w:rPr>
  </w:style>
  <w:style w:type="character" w:styleId="18">
    <w:name w:val="Hyperlink"/>
    <w:qFormat/>
    <w:uiPriority w:val="99"/>
    <w:rPr>
      <w:rFonts w:cs="Times New Roman"/>
      <w:color w:val="0563C1"/>
      <w:u w:val="single"/>
    </w:rPr>
  </w:style>
  <w:style w:type="character" w:styleId="19">
    <w:name w:val="annotation reference"/>
    <w:semiHidden/>
    <w:qFormat/>
    <w:uiPriority w:val="99"/>
    <w:rPr>
      <w:rFonts w:cs="Times New Roman"/>
      <w:sz w:val="21"/>
      <w:szCs w:val="21"/>
    </w:rPr>
  </w:style>
  <w:style w:type="character" w:customStyle="1" w:styleId="20">
    <w:name w:val="标题 1 字符"/>
    <w:link w:val="4"/>
    <w:qFormat/>
    <w:locked/>
    <w:uiPriority w:val="99"/>
    <w:rPr>
      <w:rFonts w:ascii="黑体" w:hAnsi="黑体" w:eastAsia="黑体" w:cs="Times New Roman"/>
      <w:bCs/>
      <w:kern w:val="2"/>
      <w:sz w:val="28"/>
      <w:szCs w:val="28"/>
    </w:rPr>
  </w:style>
  <w:style w:type="character" w:customStyle="1" w:styleId="21">
    <w:name w:val="标题 2 字符"/>
    <w:link w:val="5"/>
    <w:qFormat/>
    <w:locked/>
    <w:uiPriority w:val="99"/>
    <w:rPr>
      <w:rFonts w:ascii="Times New Roman" w:hAnsi="Times New Roman" w:eastAsia="仿宋_GB2312" w:cs="Times New Roman"/>
      <w:b/>
      <w:kern w:val="2"/>
      <w:sz w:val="28"/>
      <w:szCs w:val="28"/>
    </w:rPr>
  </w:style>
  <w:style w:type="character" w:customStyle="1" w:styleId="22">
    <w:name w:val="标题 3 字符"/>
    <w:link w:val="6"/>
    <w:locked/>
    <w:uiPriority w:val="99"/>
    <w:rPr>
      <w:rFonts w:ascii="Times New Roman" w:hAnsi="Times New Roman" w:eastAsia="仿宋_GB2312" w:cs="Times New Roman"/>
      <w:b/>
      <w:kern w:val="2"/>
      <w:sz w:val="28"/>
      <w:szCs w:val="28"/>
    </w:rPr>
  </w:style>
  <w:style w:type="character" w:customStyle="1" w:styleId="23">
    <w:name w:val="正文文本缩进 字符"/>
    <w:link w:val="3"/>
    <w:semiHidden/>
    <w:qFormat/>
    <w:locked/>
    <w:uiPriority w:val="99"/>
    <w:rPr>
      <w:rFonts w:eastAsia="仿宋_GB2312" w:cs="Times New Roman"/>
      <w:sz w:val="28"/>
    </w:rPr>
  </w:style>
  <w:style w:type="character" w:customStyle="1" w:styleId="24">
    <w:name w:val="正文文本首行缩进 2 字符"/>
    <w:link w:val="2"/>
    <w:semiHidden/>
    <w:qFormat/>
    <w:locked/>
    <w:uiPriority w:val="99"/>
    <w:rPr>
      <w:rFonts w:eastAsia="仿宋_GB2312" w:cs="Times New Roman"/>
      <w:sz w:val="28"/>
    </w:rPr>
  </w:style>
  <w:style w:type="character" w:customStyle="1" w:styleId="25">
    <w:name w:val="批注文字 字符"/>
    <w:link w:val="7"/>
    <w:semiHidden/>
    <w:qFormat/>
    <w:locked/>
    <w:uiPriority w:val="99"/>
    <w:rPr>
      <w:rFonts w:cs="Times New Roman"/>
    </w:rPr>
  </w:style>
  <w:style w:type="character" w:customStyle="1" w:styleId="26">
    <w:name w:val="纯文本 字符"/>
    <w:link w:val="9"/>
    <w:qFormat/>
    <w:locked/>
    <w:uiPriority w:val="99"/>
    <w:rPr>
      <w:rFonts w:ascii="宋体" w:hAnsi="Courier New" w:eastAsia="宋体" w:cs="Times New Roman"/>
      <w:sz w:val="20"/>
      <w:szCs w:val="20"/>
    </w:rPr>
  </w:style>
  <w:style w:type="character" w:customStyle="1" w:styleId="27">
    <w:name w:val="批注框文本 字符"/>
    <w:link w:val="10"/>
    <w:semiHidden/>
    <w:qFormat/>
    <w:locked/>
    <w:uiPriority w:val="99"/>
    <w:rPr>
      <w:rFonts w:cs="Times New Roman"/>
      <w:sz w:val="18"/>
      <w:szCs w:val="18"/>
    </w:rPr>
  </w:style>
  <w:style w:type="character" w:customStyle="1" w:styleId="28">
    <w:name w:val="页脚 字符"/>
    <w:link w:val="11"/>
    <w:qFormat/>
    <w:locked/>
    <w:uiPriority w:val="99"/>
    <w:rPr>
      <w:rFonts w:cs="Times New Roman"/>
      <w:sz w:val="18"/>
      <w:szCs w:val="18"/>
    </w:rPr>
  </w:style>
  <w:style w:type="character" w:customStyle="1" w:styleId="29">
    <w:name w:val="页眉 字符"/>
    <w:link w:val="12"/>
    <w:qFormat/>
    <w:locked/>
    <w:uiPriority w:val="99"/>
    <w:rPr>
      <w:rFonts w:cs="Times New Roman"/>
      <w:sz w:val="18"/>
      <w:szCs w:val="18"/>
    </w:rPr>
  </w:style>
  <w:style w:type="character" w:customStyle="1" w:styleId="30">
    <w:name w:val="批注主题 字符"/>
    <w:link w:val="15"/>
    <w:semiHidden/>
    <w:qFormat/>
    <w:locked/>
    <w:uiPriority w:val="99"/>
    <w:rPr>
      <w:rFonts w:cs="Times New Roman"/>
      <w:b/>
      <w:bCs/>
    </w:rPr>
  </w:style>
  <w:style w:type="paragraph" w:styleId="31">
    <w:name w:val="List Paragraph"/>
    <w:basedOn w:val="1"/>
    <w:qFormat/>
    <w:uiPriority w:val="99"/>
    <w:pPr>
      <w:ind w:firstLine="420"/>
    </w:pPr>
  </w:style>
  <w:style w:type="paragraph" w:customStyle="1" w:styleId="32">
    <w:name w:val="TOC 标题1"/>
    <w:basedOn w:val="4"/>
    <w:next w:val="1"/>
    <w:qFormat/>
    <w:uiPriority w:val="99"/>
    <w:pPr>
      <w:widowControl/>
      <w:spacing w:before="240" w:line="259" w:lineRule="auto"/>
      <w:jc w:val="left"/>
      <w:outlineLvl w:val="9"/>
    </w:pPr>
    <w:rPr>
      <w:rFonts w:ascii="等线 Light" w:hAnsi="等线 Light" w:eastAsia="等线 Light"/>
      <w:b/>
      <w:bCs w:val="0"/>
      <w:color w:val="2F5496"/>
      <w:kern w:val="0"/>
      <w:sz w:val="32"/>
      <w:szCs w:val="32"/>
    </w:rPr>
  </w:style>
  <w:style w:type="paragraph" w:customStyle="1" w:styleId="33">
    <w:name w:val="TOC 标题2"/>
    <w:basedOn w:val="4"/>
    <w:next w:val="1"/>
    <w:qFormat/>
    <w:uiPriority w:val="99"/>
    <w:pPr>
      <w:keepNext/>
      <w:keepLines/>
      <w:widowControl/>
      <w:spacing w:before="240" w:line="259" w:lineRule="auto"/>
      <w:ind w:firstLine="0" w:firstLineChars="0"/>
      <w:jc w:val="left"/>
      <w:outlineLvl w:val="9"/>
    </w:pPr>
    <w:rPr>
      <w:rFonts w:ascii="等线 Light" w:hAnsi="等线 Light" w:eastAsia="等线 Light"/>
      <w:bCs w:val="0"/>
      <w:color w:val="2F5496"/>
      <w:kern w:val="0"/>
      <w:sz w:val="32"/>
      <w:szCs w:val="32"/>
    </w:rPr>
  </w:style>
  <w:style w:type="paragraph" w:customStyle="1" w:styleId="34">
    <w:name w:val="修订1"/>
    <w:hidden/>
    <w:semiHidden/>
    <w:qFormat/>
    <w:uiPriority w:val="99"/>
    <w:rPr>
      <w:rFonts w:ascii="等线" w:hAnsi="等线" w:eastAsia="仿宋_GB2312"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29495-9A97-4C2C-A66B-F18CDC24AE3D}">
  <ds:schemaRefs/>
</ds:datastoreItem>
</file>

<file path=docProps/app.xml><?xml version="1.0" encoding="utf-8"?>
<Properties xmlns="http://schemas.openxmlformats.org/officeDocument/2006/extended-properties" xmlns:vt="http://schemas.openxmlformats.org/officeDocument/2006/docPropsVTypes">
  <Template>Normal</Template>
  <Pages>50</Pages>
  <Words>4003</Words>
  <Characters>22820</Characters>
  <Lines>190</Lines>
  <Paragraphs>53</Paragraphs>
  <TotalTime>10</TotalTime>
  <ScaleCrop>false</ScaleCrop>
  <LinksUpToDate>false</LinksUpToDate>
  <CharactersWithSpaces>26770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2020-11-09T04:45:00Z</dcterms:created>
  <dc:creator>shadow</dc:creator>
  <cp:lastModifiedBy>shadow</cp:lastModifiedBy>
  <cp:lastPrinted>2020-10-30T08:54:00Z</cp:lastPrinted>
  <dcterms:modified xsi:type="dcterms:W3CDTF">2020-12-24T03:15:08Z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