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方正小标宋简体" w:hAnsi="宋体" w:eastAsia="方正小标宋简体" w:cs="宋体"/>
          <w:bCs/>
          <w:color w:val="000000"/>
          <w:sz w:val="44"/>
          <w:szCs w:val="44"/>
          <w:lang w:val="en-US" w:eastAsia="zh-CN"/>
        </w:rPr>
      </w:pPr>
      <w:r>
        <w:rPr>
          <w:rFonts w:hint="eastAsia" w:ascii="方正小标宋简体" w:hAnsi="宋体" w:eastAsia="方正小标宋简体" w:cs="宋体"/>
          <w:bCs/>
          <w:color w:val="000000"/>
          <w:sz w:val="44"/>
          <w:szCs w:val="44"/>
          <w:lang w:val="en-US" w:eastAsia="zh-CN"/>
        </w:rPr>
        <w:t>宜春市财政局</w:t>
      </w:r>
    </w:p>
    <w:p>
      <w:pPr>
        <w:widowControl/>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bCs/>
          <w:color w:val="000000"/>
          <w:sz w:val="44"/>
          <w:szCs w:val="44"/>
          <w:lang w:val="en-US" w:eastAsia="zh-CN"/>
        </w:rPr>
        <w:t>2019年</w:t>
      </w:r>
      <w:r>
        <w:rPr>
          <w:rFonts w:hint="eastAsia" w:ascii="方正小标宋简体" w:hAnsi="宋体" w:eastAsia="方正小标宋简体" w:cs="宋体"/>
          <w:bCs/>
          <w:color w:val="000000"/>
          <w:sz w:val="44"/>
          <w:szCs w:val="44"/>
        </w:rPr>
        <w:t>政府信息公开工作年度报告</w:t>
      </w:r>
    </w:p>
    <w:p>
      <w:pPr>
        <w:widowControl/>
        <w:ind w:firstLine="480"/>
        <w:rPr>
          <w:rFonts w:hint="eastAsia" w:ascii="宋体" w:hAnsi="宋体" w:cs="宋体"/>
          <w:color w:val="000000"/>
          <w:sz w:val="24"/>
          <w:szCs w:val="24"/>
        </w:rPr>
      </w:pP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eastAsia="黑体"/>
          <w:color w:val="000000"/>
          <w:sz w:val="32"/>
          <w:szCs w:val="32"/>
        </w:rPr>
      </w:pPr>
      <w:r>
        <w:rPr>
          <w:rFonts w:eastAsia="黑体"/>
          <w:bCs/>
          <w:color w:val="000000"/>
          <w:sz w:val="32"/>
          <w:szCs w:val="32"/>
        </w:rPr>
        <w:t>一、总体情况</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hint="eastAsia" w:eastAsia="仿宋_GB2312"/>
          <w:color w:val="000000"/>
          <w:sz w:val="32"/>
          <w:szCs w:val="32"/>
        </w:rPr>
      </w:pPr>
      <w:r>
        <w:rPr>
          <w:rFonts w:hint="eastAsia" w:eastAsia="仿宋_GB2312"/>
          <w:color w:val="000000"/>
          <w:sz w:val="32"/>
          <w:szCs w:val="32"/>
        </w:rPr>
        <w:t>2019年，</w:t>
      </w:r>
      <w:r>
        <w:rPr>
          <w:rFonts w:hint="eastAsia" w:eastAsia="仿宋_GB2312"/>
          <w:color w:val="000000"/>
          <w:sz w:val="32"/>
          <w:szCs w:val="32"/>
          <w:lang w:val="en-US" w:eastAsia="zh-CN"/>
        </w:rPr>
        <w:t>宜春市财政局</w:t>
      </w:r>
      <w:r>
        <w:rPr>
          <w:rFonts w:hint="eastAsia" w:eastAsia="仿宋_GB2312"/>
          <w:color w:val="000000"/>
          <w:sz w:val="32"/>
          <w:szCs w:val="32"/>
        </w:rPr>
        <w:t>根据《中华人民共和国政府信息公开条例》的规定，严格遵照《宜春市人民政府</w:t>
      </w:r>
      <w:r>
        <w:rPr>
          <w:rFonts w:hint="eastAsia" w:eastAsia="仿宋_GB2312"/>
          <w:color w:val="000000"/>
          <w:sz w:val="32"/>
          <w:szCs w:val="32"/>
          <w:lang w:val="en-US" w:eastAsia="zh-CN"/>
        </w:rPr>
        <w:t>办公室关于转发国办公开办函</w:t>
      </w:r>
      <w:r>
        <w:rPr>
          <w:rFonts w:hint="eastAsia" w:ascii="楷体_GB2312" w:hAnsi="楷体_GB2312" w:eastAsia="楷体_GB2312" w:cs="楷体_GB2312"/>
          <w:color w:val="000000"/>
          <w:sz w:val="32"/>
          <w:szCs w:val="32"/>
          <w:lang w:val="en-US" w:eastAsia="zh-CN"/>
        </w:rPr>
        <w:t>〔2019〕60、61</w:t>
      </w:r>
      <w:r>
        <w:rPr>
          <w:rFonts w:hint="eastAsia" w:eastAsia="仿宋_GB2312"/>
          <w:color w:val="000000"/>
          <w:sz w:val="32"/>
          <w:szCs w:val="32"/>
          <w:lang w:val="en-US" w:eastAsia="zh-CN"/>
        </w:rPr>
        <w:t>号文件做好政府信息公开有关工作的通知》</w:t>
      </w:r>
      <w:r>
        <w:rPr>
          <w:rFonts w:hint="eastAsia" w:eastAsia="仿宋_GB2312"/>
          <w:color w:val="000000"/>
          <w:sz w:val="32"/>
          <w:szCs w:val="32"/>
        </w:rPr>
        <w:t>的要求，遵循公正、公平、合法、便民的原则，持续加大财政信息主动公开力度，着力推进政府及其部门财政预决算、减税降费等重点领域信息公开，积极做好依申请公开工作，切实保障公民、法人和其他组织知晓权，提高财政工作的透明度，建设法治财政。</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textAlignment w:val="baseline"/>
        <w:rPr>
          <w:rFonts w:hint="eastAsia" w:eastAsia="仿宋_GB2312"/>
          <w:color w:val="000000"/>
          <w:sz w:val="32"/>
          <w:szCs w:val="32"/>
        </w:rPr>
      </w:pPr>
      <w:r>
        <w:rPr>
          <w:rFonts w:hint="eastAsia" w:eastAsia="仿宋_GB2312"/>
          <w:color w:val="000000"/>
          <w:sz w:val="32"/>
          <w:szCs w:val="32"/>
        </w:rPr>
        <w:t>本年报中所列数据的统计期限自2019年1月1日起至2019年12月31日止。</w:t>
      </w:r>
      <w:r>
        <w:rPr>
          <w:rFonts w:hint="eastAsia" w:eastAsia="仿宋_GB2312"/>
          <w:color w:val="000000"/>
          <w:sz w:val="32"/>
          <w:szCs w:val="32"/>
          <w:lang w:val="en-US" w:eastAsia="zh-CN"/>
        </w:rPr>
        <w:t>可在</w:t>
      </w:r>
      <w:r>
        <w:rPr>
          <w:rFonts w:hint="eastAsia" w:eastAsia="仿宋_GB2312"/>
          <w:color w:val="000000"/>
          <w:sz w:val="32"/>
          <w:szCs w:val="32"/>
        </w:rPr>
        <w:t>宜春市财政局门户网站（http://czj.yichun.gov.cn/，以下简称门户网站）查阅本报告。如对本报告有疑问，请与宜春市财政局秘书科联系（地址：江西省宜春市宜阳大厦东座729室，邮编：336000，电话：0795-3567034，兼传真）。</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主动公开落实有力。</w:t>
      </w:r>
      <w:r>
        <w:rPr>
          <w:rFonts w:hint="eastAsia" w:eastAsia="仿宋_GB2312"/>
          <w:color w:val="000000"/>
          <w:sz w:val="32"/>
          <w:szCs w:val="32"/>
          <w:lang w:val="en-US" w:eastAsia="zh-CN"/>
        </w:rPr>
        <w:t>一是切实加强局网站信息公开工作，2019年累计在局网站发布信息2368条，其中：政务动态信息更新量1869条、信息公开目录信息更新量437条。二是推动新媒体建设，及时更新发布财政重要动态信息，“宜春财政”公众号全年更新信息242条；三是不断完善局网站设置，截至目前，局网站设置了“预决算公开平台”、“绩效评价”、“减税降费降成本优环境”等7个专栏，及时发布相关财政政策、工作动态。四是定期编制《财经要闻传阅》月刊，将每月中央财政信息、政策、经济形势评论文章等编制成册，不断丰富全市财政干部理论学习资料，提升干部综合素养，助力全市经济社会又好又快发展。</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依申请公开规范有序。</w:t>
      </w:r>
      <w:r>
        <w:rPr>
          <w:rFonts w:hint="eastAsia" w:eastAsia="仿宋_GB2312"/>
          <w:color w:val="000000"/>
          <w:sz w:val="32"/>
          <w:szCs w:val="32"/>
          <w:lang w:val="en-US" w:eastAsia="zh-CN"/>
        </w:rPr>
        <w:t>2019年，我局新收到信息公开申请2件，全年共办结2件。从申请信息公开的内容看，主要集中在财政资金安排使用方面。对依申请公开事项，我局实行专人负责，并严格按照“谁产生、谁提供、谁负责”的原则，由各科室提供相关答复材料，统一答复。全年，我局办理的依申请公开答复保持了较高的质量，未出现行政诉讼等情况。</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eastAsia"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政府信息管理机制健全。</w:t>
      </w:r>
      <w:r>
        <w:rPr>
          <w:rFonts w:hint="eastAsia" w:eastAsia="仿宋_GB2312"/>
          <w:color w:val="000000"/>
          <w:sz w:val="32"/>
          <w:szCs w:val="32"/>
          <w:lang w:val="en-US" w:eastAsia="zh-CN"/>
        </w:rPr>
        <w:t>宜春市财政局建立健全了“分工明确、权责清晰，多人复审、逐级把关”的政府信息管理发布机制，严格信息发布审核，确保及时准确发布权威资讯。对动态信息、财政工作、财政政策等重点信息，严把政策关、文字关、数字关，敏感事项反复与有关单位沟通修改。加强了局网站安全管理工作，完善了各种技术防范措施，有力保障了门户网站的安全运行。</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eastAsia"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平台建设不断完善。</w:t>
      </w:r>
      <w:r>
        <w:rPr>
          <w:rFonts w:hint="eastAsia" w:eastAsia="仿宋_GB2312"/>
          <w:color w:val="000000"/>
          <w:sz w:val="32"/>
          <w:szCs w:val="32"/>
          <w:lang w:val="en-US" w:eastAsia="zh-CN"/>
        </w:rPr>
        <w:t>根据中央、省、市对政府信息公开平台建设的相关文件要求，宜春市财政局狠抓门户网站信息内容建设，着力提高门户网站管理水平，强化门户网站信息发布和更新工作，规范门户网站信息发布流程。在着重建设好本单位门户网站的基础上，通过规范推送格式、严格稿件审核、提高更新频率等措施，加强对局微信公众号的维护，进一步完善政务公开平台。</w:t>
      </w:r>
    </w:p>
    <w:p>
      <w:pPr>
        <w:keepNext w:val="0"/>
        <w:keepLines w:val="0"/>
        <w:pageBreakBefore w:val="0"/>
        <w:widowControl w:val="0"/>
        <w:kinsoku/>
        <w:wordWrap/>
        <w:overflowPunct w:val="0"/>
        <w:topLinePunct w:val="0"/>
        <w:autoSpaceDE/>
        <w:autoSpaceDN/>
        <w:bidi w:val="0"/>
        <w:adjustRightInd w:val="0"/>
        <w:snapToGrid/>
        <w:spacing w:line="600" w:lineRule="exact"/>
        <w:ind w:firstLine="643" w:firstLineChars="200"/>
        <w:textAlignment w:val="baseline"/>
        <w:rPr>
          <w:rFonts w:hint="default" w:eastAsia="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监督保障常抓不懈。</w:t>
      </w:r>
      <w:r>
        <w:rPr>
          <w:rFonts w:hint="eastAsia" w:eastAsia="仿宋_GB2312"/>
          <w:color w:val="000000"/>
          <w:sz w:val="32"/>
          <w:szCs w:val="32"/>
          <w:lang w:val="en-US" w:eastAsia="zh-CN"/>
        </w:rPr>
        <w:t>一是</w:t>
      </w:r>
      <w:r>
        <w:rPr>
          <w:rFonts w:hint="default" w:eastAsia="仿宋_GB2312"/>
          <w:color w:val="000000"/>
          <w:sz w:val="32"/>
          <w:szCs w:val="32"/>
          <w:lang w:val="en-US" w:eastAsia="zh-CN"/>
        </w:rPr>
        <w:t>根据《宜春市财政局宣传工作管理暂行办法》要求，由我局秘书科牵头开展政府信息公开管理工作，建立健全信息公开监督检查机制，定期通报全市财政信息</w:t>
      </w:r>
      <w:r>
        <w:rPr>
          <w:rFonts w:hint="eastAsia" w:eastAsia="仿宋_GB2312"/>
          <w:color w:val="000000"/>
          <w:sz w:val="32"/>
          <w:szCs w:val="32"/>
          <w:lang w:val="en-US" w:eastAsia="zh-CN"/>
        </w:rPr>
        <w:t>工作</w:t>
      </w:r>
      <w:r>
        <w:rPr>
          <w:rFonts w:hint="default" w:eastAsia="仿宋_GB2312"/>
          <w:color w:val="000000"/>
          <w:sz w:val="32"/>
          <w:szCs w:val="32"/>
          <w:lang w:val="en-US" w:eastAsia="zh-CN"/>
        </w:rPr>
        <w:t>情况，及时传导压力，增强各</w:t>
      </w:r>
      <w:r>
        <w:rPr>
          <w:rFonts w:hint="eastAsia" w:eastAsia="仿宋_GB2312"/>
          <w:color w:val="000000"/>
          <w:sz w:val="32"/>
          <w:szCs w:val="32"/>
          <w:lang w:val="en-US" w:eastAsia="zh-CN"/>
        </w:rPr>
        <w:t>县（市、区）财政局和局各科室做好政府信息公开</w:t>
      </w:r>
      <w:r>
        <w:rPr>
          <w:rFonts w:hint="default" w:eastAsia="仿宋_GB2312"/>
          <w:color w:val="000000"/>
          <w:sz w:val="32"/>
          <w:szCs w:val="32"/>
          <w:lang w:val="en-US" w:eastAsia="zh-CN"/>
        </w:rPr>
        <w:t>的积极性。将局网站信息采用情况纳入科室工作综合考核和县级财政工作综合考核，不断增强约束力。</w:t>
      </w:r>
      <w:r>
        <w:rPr>
          <w:rFonts w:hint="eastAsia" w:eastAsia="仿宋_GB2312"/>
          <w:color w:val="000000"/>
          <w:sz w:val="32"/>
          <w:szCs w:val="32"/>
          <w:lang w:val="en-US" w:eastAsia="zh-CN"/>
        </w:rPr>
        <w:t>二是根据预决算公开的相关文件要求，由我局预算科、国库科分别牵头对各县（市、区）政府预决算公开和市直各部门预决算公开进行指导，围绕公开主体、公开内容、公开时限、公开形式等方面开展了抽查检查，督促各县（市、区）财政局、市直各部门依法依规做好公开工作。</w:t>
      </w:r>
    </w:p>
    <w:p>
      <w:pPr>
        <w:overflowPunct w:val="0"/>
        <w:spacing w:line="600" w:lineRule="exact"/>
        <w:ind w:firstLine="640" w:firstLineChars="200"/>
        <w:rPr>
          <w:rFonts w:hint="eastAsia" w:eastAsia="黑体"/>
          <w:bCs/>
          <w:color w:val="000000"/>
          <w:sz w:val="32"/>
          <w:szCs w:val="32"/>
        </w:rPr>
      </w:pPr>
      <w:r>
        <w:rPr>
          <w:rFonts w:eastAsia="黑体"/>
          <w:bCs/>
          <w:color w:val="000000"/>
          <w:sz w:val="32"/>
          <w:szCs w:val="32"/>
        </w:rPr>
        <w:t>二、主动公开政府信息情况</w:t>
      </w:r>
    </w:p>
    <w:tbl>
      <w:tblPr>
        <w:tblStyle w:val="2"/>
        <w:tblW w:w="8868" w:type="dxa"/>
        <w:jc w:val="center"/>
        <w:tblLayout w:type="autofit"/>
        <w:tblCellMar>
          <w:top w:w="15" w:type="dxa"/>
          <w:left w:w="15" w:type="dxa"/>
          <w:bottom w:w="15" w:type="dxa"/>
          <w:right w:w="15" w:type="dxa"/>
        </w:tblCellMar>
      </w:tblPr>
      <w:tblGrid>
        <w:gridCol w:w="3249"/>
        <w:gridCol w:w="1936"/>
        <w:gridCol w:w="1765"/>
        <w:gridCol w:w="6"/>
        <w:gridCol w:w="1912"/>
      </w:tblGrid>
      <w:tr>
        <w:tblPrEx>
          <w:tblCellMar>
            <w:top w:w="15" w:type="dxa"/>
            <w:left w:w="15" w:type="dxa"/>
            <w:bottom w:w="15" w:type="dxa"/>
            <w:right w:w="15" w:type="dxa"/>
          </w:tblCellMar>
        </w:tblPrEx>
        <w:trPr>
          <w:trHeight w:val="510" w:hRule="atLeast"/>
          <w:jc w:val="center"/>
        </w:trPr>
        <w:tc>
          <w:tcPr>
            <w:tcW w:w="8868"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第二十条第（一）项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本年新制作数量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本年新公开数量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对外公开总数量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规章</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hint="eastAsia" w:eastAsia="仿宋_GB2312"/>
                <w:color w:val="000000"/>
                <w:sz w:val="22"/>
                <w:szCs w:val="22"/>
                <w:lang w:val="en-US" w:eastAsia="zh-CN"/>
              </w:rPr>
            </w:pPr>
            <w:r>
              <w:rPr>
                <w:rFonts w:hint="eastAsia" w:eastAsia="仿宋_GB2312"/>
                <w:color w:val="000000"/>
                <w:sz w:val="22"/>
                <w:szCs w:val="22"/>
                <w:lang w:val="en-US" w:eastAsia="zh-CN"/>
              </w:rPr>
              <w:t>0</w:t>
            </w:r>
          </w:p>
        </w:tc>
        <w:tc>
          <w:tcPr>
            <w:tcW w:w="17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ind w:firstLine="220" w:firstLineChars="100"/>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hint="eastAsia" w:eastAsia="仿宋_GB2312"/>
                <w:color w:val="000000"/>
                <w:sz w:val="22"/>
                <w:szCs w:val="22"/>
                <w:lang w:val="en-US" w:eastAsia="zh-CN"/>
              </w:rPr>
            </w:pP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规范性文件</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3</w:t>
            </w:r>
          </w:p>
        </w:tc>
        <w:tc>
          <w:tcPr>
            <w:tcW w:w="1771"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ind w:firstLine="220" w:firstLineChars="100"/>
              <w:jc w:val="left"/>
              <w:rPr>
                <w:rFonts w:eastAsia="仿宋_GB2312"/>
                <w:color w:val="000000"/>
                <w:sz w:val="22"/>
                <w:szCs w:val="22"/>
              </w:rPr>
            </w:pPr>
            <w:r>
              <w:rPr>
                <w:rFonts w:hint="eastAsia" w:eastAsia="仿宋_GB2312"/>
                <w:color w:val="000000"/>
                <w:sz w:val="22"/>
                <w:szCs w:val="22"/>
                <w:lang w:val="en-US" w:eastAsia="zh-CN"/>
              </w:rPr>
              <w:t>3</w:t>
            </w:r>
            <w:r>
              <w:rPr>
                <w:rFonts w:eastAsia="仿宋_GB2312"/>
                <w:color w:val="000000"/>
                <w:sz w:val="22"/>
                <w:szCs w:val="22"/>
              </w:rPr>
              <w:t> </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eastAsia="仿宋_GB2312"/>
                <w:color w:val="000000"/>
                <w:sz w:val="22"/>
                <w:szCs w:val="22"/>
              </w:rPr>
            </w:pPr>
            <w:r>
              <w:rPr>
                <w:rFonts w:hint="eastAsia" w:eastAsia="仿宋_GB2312"/>
                <w:color w:val="000000"/>
                <w:sz w:val="22"/>
                <w:szCs w:val="22"/>
                <w:lang w:val="en-US" w:eastAsia="zh-CN"/>
              </w:rPr>
              <w:t>3</w:t>
            </w:r>
            <w:r>
              <w:rPr>
                <w:rFonts w:eastAsia="仿宋_GB2312"/>
                <w:color w:val="000000"/>
                <w:sz w:val="22"/>
                <w:szCs w:val="22"/>
              </w:rPr>
              <w:t>　</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第二十条第（五）项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上一年项目数量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处理决定数量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行政许可</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hint="eastAsia" w:eastAsia="仿宋_GB2312"/>
                <w:color w:val="000000"/>
                <w:sz w:val="22"/>
                <w:szCs w:val="22"/>
                <w:lang w:val="en-US" w:eastAsia="zh-CN"/>
              </w:rPr>
            </w:pPr>
            <w:r>
              <w:rPr>
                <w:rFonts w:hint="eastAsia" w:eastAsia="仿宋_GB2312"/>
                <w:color w:val="000000"/>
                <w:sz w:val="22"/>
                <w:szCs w:val="22"/>
                <w:lang w:val="en-US" w:eastAsia="zh-CN"/>
              </w:rPr>
              <w:t>0</w:t>
            </w:r>
            <w:r>
              <w:rPr>
                <w:rFonts w:eastAsia="仿宋_GB2312"/>
                <w:color w:val="000000"/>
                <w:sz w:val="22"/>
                <w:szCs w:val="22"/>
              </w:rPr>
              <w:t>　</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其他对外管理服务事项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第二十条第（六）项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上一年项目数量</w:t>
            </w:r>
          </w:p>
        </w:tc>
        <w:tc>
          <w:tcPr>
            <w:tcW w:w="1771"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c>
          <w:tcPr>
            <w:tcW w:w="1912"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处理决定数量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行政处罚</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default"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12</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ind w:firstLine="220" w:firstLineChars="100"/>
              <w:jc w:val="left"/>
              <w:rPr>
                <w:rFonts w:eastAsia="仿宋_GB2312"/>
                <w:color w:val="000000"/>
                <w:sz w:val="22"/>
                <w:szCs w:val="22"/>
              </w:rPr>
            </w:pPr>
            <w:r>
              <w:rPr>
                <w:rFonts w:hint="eastAsia" w:eastAsia="仿宋_GB2312"/>
                <w:color w:val="000000"/>
                <w:sz w:val="22"/>
                <w:szCs w:val="22"/>
                <w:lang w:val="en-US" w:eastAsia="zh-CN"/>
              </w:rPr>
              <w:t>0</w:t>
            </w:r>
            <w:r>
              <w:rPr>
                <w:rFonts w:eastAsia="仿宋_GB2312"/>
                <w:color w:val="000000"/>
                <w:sz w:val="22"/>
                <w:szCs w:val="22"/>
              </w:rPr>
              <w:t>　</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default"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34</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行政强制</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7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c>
          <w:tcPr>
            <w:tcW w:w="1918"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0</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第二十条第（八）项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上一年项目数量</w:t>
            </w:r>
          </w:p>
        </w:tc>
        <w:tc>
          <w:tcPr>
            <w:tcW w:w="3683" w:type="dxa"/>
            <w:gridSpan w:val="3"/>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本年增/减</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行政事业性收费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1</w:t>
            </w:r>
          </w:p>
        </w:tc>
        <w:tc>
          <w:tcPr>
            <w:tcW w:w="3683"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hint="eastAsia" w:eastAsia="仿宋_GB2312"/>
                <w:color w:val="000000"/>
                <w:sz w:val="22"/>
                <w:szCs w:val="22"/>
                <w:lang w:val="en-US" w:eastAsia="zh-CN"/>
              </w:rPr>
              <w:t>0</w:t>
            </w:r>
            <w:r>
              <w:rPr>
                <w:rFonts w:eastAsia="仿宋_GB2312"/>
                <w:color w:val="000000"/>
                <w:sz w:val="22"/>
                <w:szCs w:val="22"/>
              </w:rPr>
              <w:t> </w:t>
            </w:r>
          </w:p>
        </w:tc>
      </w:tr>
      <w:tr>
        <w:tblPrEx>
          <w:tblCellMar>
            <w:top w:w="15" w:type="dxa"/>
            <w:left w:w="15" w:type="dxa"/>
            <w:bottom w:w="15" w:type="dxa"/>
            <w:right w:w="15" w:type="dxa"/>
          </w:tblCellMar>
        </w:tblPrEx>
        <w:trPr>
          <w:trHeight w:val="510" w:hRule="atLeast"/>
          <w:jc w:val="center"/>
        </w:trPr>
        <w:tc>
          <w:tcPr>
            <w:tcW w:w="8868"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第二十条第（九）项</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信息内容</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采购项目数量</w:t>
            </w:r>
          </w:p>
        </w:tc>
        <w:tc>
          <w:tcPr>
            <w:tcW w:w="3683" w:type="dxa"/>
            <w:gridSpan w:val="3"/>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center"/>
              <w:rPr>
                <w:rFonts w:eastAsia="仿宋_GB2312"/>
                <w:color w:val="000000"/>
                <w:sz w:val="22"/>
                <w:szCs w:val="22"/>
              </w:rPr>
            </w:pPr>
            <w:r>
              <w:rPr>
                <w:rFonts w:eastAsia="仿宋_GB2312"/>
                <w:color w:val="000000"/>
                <w:sz w:val="22"/>
                <w:szCs w:val="22"/>
              </w:rPr>
              <w:t>采购总金额</w:t>
            </w:r>
          </w:p>
        </w:tc>
      </w:tr>
      <w:tr>
        <w:tblPrEx>
          <w:tblCellMar>
            <w:top w:w="15" w:type="dxa"/>
            <w:left w:w="15" w:type="dxa"/>
            <w:bottom w:w="15" w:type="dxa"/>
            <w:right w:w="15" w:type="dxa"/>
          </w:tblCellMar>
        </w:tblPrEx>
        <w:trPr>
          <w:trHeight w:val="510" w:hRule="atLeast"/>
          <w:jc w:val="center"/>
        </w:trPr>
        <w:tc>
          <w:tcPr>
            <w:tcW w:w="3249"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eastAsia="仿宋_GB2312"/>
                <w:color w:val="000000"/>
                <w:sz w:val="22"/>
                <w:szCs w:val="22"/>
              </w:rPr>
            </w:pPr>
            <w:r>
              <w:rPr>
                <w:rFonts w:eastAsia="仿宋_GB2312"/>
                <w:color w:val="000000"/>
                <w:sz w:val="22"/>
                <w:szCs w:val="22"/>
              </w:rPr>
              <w:t>政府集中采购</w:t>
            </w:r>
          </w:p>
        </w:tc>
        <w:tc>
          <w:tcPr>
            <w:tcW w:w="1936"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300" w:lineRule="exact"/>
              <w:jc w:val="left"/>
              <w:rPr>
                <w:rFonts w:hint="eastAsia" w:eastAsia="仿宋_GB2312"/>
                <w:color w:val="000000"/>
                <w:sz w:val="22"/>
                <w:szCs w:val="22"/>
                <w:lang w:val="en-US" w:eastAsia="zh-CN"/>
              </w:rPr>
            </w:pPr>
            <w:r>
              <w:rPr>
                <w:rFonts w:eastAsia="仿宋_GB2312"/>
                <w:color w:val="000000"/>
                <w:sz w:val="22"/>
                <w:szCs w:val="22"/>
              </w:rPr>
              <w:t>　</w:t>
            </w:r>
            <w:r>
              <w:rPr>
                <w:rFonts w:hint="eastAsia" w:eastAsia="仿宋_GB2312"/>
                <w:color w:val="000000"/>
                <w:sz w:val="22"/>
                <w:szCs w:val="22"/>
                <w:lang w:val="en-US" w:eastAsia="zh-CN"/>
              </w:rPr>
              <w:t>7</w:t>
            </w:r>
          </w:p>
        </w:tc>
        <w:tc>
          <w:tcPr>
            <w:tcW w:w="3683" w:type="dxa"/>
            <w:gridSpan w:val="3"/>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300" w:lineRule="exact"/>
              <w:jc w:val="left"/>
              <w:rPr>
                <w:rFonts w:hint="default" w:eastAsia="仿宋_GB2312"/>
                <w:color w:val="000000"/>
                <w:sz w:val="22"/>
                <w:szCs w:val="22"/>
                <w:lang w:val="en-US" w:eastAsia="zh-CN"/>
              </w:rPr>
            </w:pPr>
            <w:r>
              <w:rPr>
                <w:rFonts w:hint="eastAsia" w:eastAsia="仿宋_GB2312"/>
                <w:color w:val="000000"/>
                <w:sz w:val="22"/>
                <w:szCs w:val="22"/>
                <w:lang w:val="en-US" w:eastAsia="zh-CN"/>
              </w:rPr>
              <w:t xml:space="preserve">  119</w:t>
            </w:r>
          </w:p>
        </w:tc>
      </w:tr>
    </w:tbl>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三、收到和处理政府信息公开申请情况</w:t>
      </w:r>
    </w:p>
    <w:tbl>
      <w:tblPr>
        <w:tblStyle w:val="2"/>
        <w:tblW w:w="9071" w:type="dxa"/>
        <w:jc w:val="center"/>
        <w:tblLayout w:type="autofit"/>
        <w:tblCellMar>
          <w:top w:w="15" w:type="dxa"/>
          <w:left w:w="15" w:type="dxa"/>
          <w:bottom w:w="15" w:type="dxa"/>
          <w:right w:w="15" w:type="dxa"/>
        </w:tblCellMar>
      </w:tblPr>
      <w:tblGrid>
        <w:gridCol w:w="616"/>
        <w:gridCol w:w="854"/>
        <w:gridCol w:w="2084"/>
        <w:gridCol w:w="814"/>
        <w:gridCol w:w="755"/>
        <w:gridCol w:w="755"/>
        <w:gridCol w:w="814"/>
        <w:gridCol w:w="974"/>
        <w:gridCol w:w="711"/>
        <w:gridCol w:w="694"/>
      </w:tblGrid>
      <w:tr>
        <w:tblPrEx>
          <w:tblCellMar>
            <w:top w:w="15" w:type="dxa"/>
            <w:left w:w="15" w:type="dxa"/>
            <w:bottom w:w="15" w:type="dxa"/>
            <w:right w:w="15" w:type="dxa"/>
          </w:tblCellMar>
        </w:tblPrEx>
        <w:trPr>
          <w:trHeight w:val="397" w:hRule="atLeast"/>
          <w:jc w:val="center"/>
        </w:trPr>
        <w:tc>
          <w:tcPr>
            <w:tcW w:w="3554"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（本列数据的勾稽关系为：第一项加第二项之和，等于第三项加第四项之和）</w:t>
            </w:r>
          </w:p>
        </w:tc>
        <w:tc>
          <w:tcPr>
            <w:tcW w:w="5517"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申请人情况</w:t>
            </w:r>
          </w:p>
        </w:tc>
      </w:tr>
      <w:tr>
        <w:tblPrEx>
          <w:tblCellMar>
            <w:top w:w="15" w:type="dxa"/>
            <w:left w:w="15" w:type="dxa"/>
            <w:bottom w:w="15" w:type="dxa"/>
            <w:right w:w="15" w:type="dxa"/>
          </w:tblCellMar>
        </w:tblPrEx>
        <w:trPr>
          <w:trHeight w:val="397"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1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自然人</w:t>
            </w:r>
          </w:p>
        </w:tc>
        <w:tc>
          <w:tcPr>
            <w:tcW w:w="4009"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总计</w:t>
            </w:r>
          </w:p>
        </w:tc>
      </w:tr>
      <w:tr>
        <w:tblPrEx>
          <w:tblCellMar>
            <w:top w:w="15" w:type="dxa"/>
            <w:left w:w="15" w:type="dxa"/>
            <w:bottom w:w="15" w:type="dxa"/>
            <w:right w:w="15" w:type="dxa"/>
          </w:tblCellMar>
        </w:tblPrEx>
        <w:trPr>
          <w:trHeight w:val="397"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商业企业</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科研机构</w:t>
            </w:r>
          </w:p>
        </w:tc>
        <w:tc>
          <w:tcPr>
            <w:tcW w:w="81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社会公益组织</w:t>
            </w:r>
          </w:p>
        </w:tc>
        <w:tc>
          <w:tcPr>
            <w:tcW w:w="97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40" w:lineRule="exact"/>
              <w:jc w:val="center"/>
              <w:rPr>
                <w:rFonts w:eastAsia="仿宋_GB2312"/>
                <w:color w:val="000000"/>
                <w:sz w:val="20"/>
              </w:rPr>
            </w:pPr>
            <w:r>
              <w:rPr>
                <w:rFonts w:eastAsia="仿宋_GB2312"/>
                <w:color w:val="000000"/>
                <w:sz w:val="20"/>
              </w:rPr>
              <w:t>法律服务机构</w:t>
            </w:r>
          </w:p>
        </w:tc>
        <w:tc>
          <w:tcPr>
            <w:tcW w:w="711"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280" w:lineRule="exact"/>
              <w:jc w:val="left"/>
              <w:rPr>
                <w:rFonts w:eastAsia="仿宋_GB2312"/>
                <w:color w:val="000000"/>
                <w:sz w:val="20"/>
              </w:rPr>
            </w:pPr>
          </w:p>
        </w:tc>
      </w:tr>
      <w:tr>
        <w:tblPrEx>
          <w:tblCellMar>
            <w:top w:w="15" w:type="dxa"/>
            <w:left w:w="15" w:type="dxa"/>
            <w:bottom w:w="15" w:type="dxa"/>
            <w:right w:w="15" w:type="dxa"/>
          </w:tblCellMar>
        </w:tblPrEx>
        <w:trPr>
          <w:trHeight w:val="397" w:hRule="atLeast"/>
          <w:jc w:val="center"/>
        </w:trPr>
        <w:tc>
          <w:tcPr>
            <w:tcW w:w="355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一、本年新收政府信息公开申请数量</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2</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2</w:t>
            </w:r>
          </w:p>
        </w:tc>
      </w:tr>
      <w:tr>
        <w:tblPrEx>
          <w:tblCellMar>
            <w:top w:w="15" w:type="dxa"/>
            <w:left w:w="15" w:type="dxa"/>
            <w:bottom w:w="15" w:type="dxa"/>
            <w:right w:w="15" w:type="dxa"/>
          </w:tblCellMar>
        </w:tblPrEx>
        <w:trPr>
          <w:trHeight w:val="397" w:hRule="atLeast"/>
          <w:jc w:val="center"/>
        </w:trPr>
        <w:tc>
          <w:tcPr>
            <w:tcW w:w="355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二、上年结转政府信息公开申请数量</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616"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三、本年度办理结果</w:t>
            </w:r>
          </w:p>
        </w:tc>
        <w:tc>
          <w:tcPr>
            <w:tcW w:w="2938"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（一）予以公开</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2</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2</w:t>
            </w:r>
            <w:r>
              <w:rPr>
                <w:rFonts w:eastAsia="仿宋_GB2312"/>
                <w:color w:val="000000"/>
                <w:sz w:val="20"/>
              </w:rPr>
              <w:t> </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938"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（三）不予公开</w:t>
            </w: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1.属于国家秘密</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2.其他法律行政法规禁止公开</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3.危及“三安全一稳定”</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4.保护第三方合法权益</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5.属于三类内部事务信息</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6.属于四类过程性信息</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Times New Roman"/>
                <w:color w:val="000000"/>
                <w:sz w:val="20"/>
                <w:lang w:val="en-US" w:eastAsia="zh-CN" w:bidi="ar-SA"/>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7.属于行政执法案卷</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Times New Roman"/>
                <w:color w:val="000000"/>
                <w:sz w:val="20"/>
                <w:lang w:val="en-US" w:eastAsia="zh-CN" w:bidi="ar-SA"/>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8.属于行政查询事项</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Times New Roman"/>
                <w:color w:val="000000"/>
                <w:sz w:val="20"/>
                <w:lang w:val="en-US" w:eastAsia="zh-CN" w:bidi="ar-SA"/>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（四）无法提供</w:t>
            </w: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1.本机关不掌握相关政府信息</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Times New Roman"/>
                <w:color w:val="000000"/>
                <w:sz w:val="20"/>
                <w:lang w:val="en-US" w:eastAsia="zh-CN" w:bidi="ar-SA"/>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2.没有现成信息需要另行制作</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Times New Roman"/>
                <w:color w:val="000000"/>
                <w:sz w:val="20"/>
                <w:lang w:val="en-US" w:eastAsia="zh-CN" w:bidi="ar-SA"/>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3.补正后申请内容仍不明确</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ascii="Times New Roman" w:hAnsi="Times New Roman" w:eastAsia="仿宋_GB2312" w:cs="Times New Roman"/>
                <w:color w:val="000000"/>
                <w:sz w:val="20"/>
                <w:lang w:val="en-US" w:eastAsia="zh-CN" w:bidi="ar-SA"/>
              </w:rPr>
            </w:pPr>
            <w:r>
              <w:rPr>
                <w:rFonts w:hint="eastAsia" w:eastAsia="仿宋_GB2312"/>
                <w:color w:val="000000"/>
                <w:sz w:val="20"/>
                <w:lang w:val="en-US" w:eastAsia="zh-CN"/>
              </w:rPr>
              <w:t>0</w:t>
            </w:r>
            <w:r>
              <w:rPr>
                <w:rFonts w:eastAsia="仿宋_GB2312"/>
                <w:color w:val="000000"/>
                <w:sz w:val="20"/>
              </w:rPr>
              <w:t> </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85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（五）不予处理</w:t>
            </w: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1.信访举报投诉类申请</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hint="eastAsia" w:eastAsia="仿宋_GB2312"/>
                <w:color w:val="000000"/>
                <w:sz w:val="20"/>
                <w:lang w:val="en-US" w:eastAsia="zh-CN"/>
              </w:rPr>
              <w:t>0</w:t>
            </w:r>
            <w:r>
              <w:rPr>
                <w:rFonts w:eastAsia="仿宋_GB2312"/>
                <w:color w:val="000000"/>
                <w:sz w:val="20"/>
              </w:rPr>
              <w:t> </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2.重复申请</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3.要求提供公开出版物</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4.无正当理由大量反复申请</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08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pacing w:val="-6"/>
                <w:sz w:val="20"/>
              </w:rPr>
            </w:pPr>
            <w:r>
              <w:rPr>
                <w:rFonts w:eastAsia="仿宋_GB2312"/>
                <w:color w:val="000000"/>
                <w:spacing w:val="-6"/>
                <w:sz w:val="20"/>
              </w:rPr>
              <w:t>5.要求行政机关确认或重新出具已获取信息</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p>
        </w:tc>
        <w:tc>
          <w:tcPr>
            <w:tcW w:w="2938"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（六）其他处理</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r>
      <w:tr>
        <w:tblPrEx>
          <w:tblCellMar>
            <w:top w:w="15" w:type="dxa"/>
            <w:left w:w="15" w:type="dxa"/>
            <w:bottom w:w="15" w:type="dxa"/>
            <w:right w:w="15" w:type="dxa"/>
          </w:tblCellMar>
        </w:tblPrEx>
        <w:trPr>
          <w:trHeight w:val="397"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spacing w:line="280" w:lineRule="exact"/>
              <w:jc w:val="left"/>
              <w:rPr>
                <w:rFonts w:eastAsia="仿宋_GB2312"/>
                <w:color w:val="000000"/>
                <w:sz w:val="20"/>
              </w:rPr>
            </w:pPr>
            <w:bookmarkStart w:id="0" w:name="_GoBack" w:colFirst="4" w:colLast="8"/>
          </w:p>
        </w:tc>
        <w:tc>
          <w:tcPr>
            <w:tcW w:w="2938"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（七）总计</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2</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2</w:t>
            </w:r>
          </w:p>
        </w:tc>
      </w:tr>
      <w:tr>
        <w:tblPrEx>
          <w:tblCellMar>
            <w:top w:w="15" w:type="dxa"/>
            <w:left w:w="15" w:type="dxa"/>
            <w:bottom w:w="15" w:type="dxa"/>
            <w:right w:w="15" w:type="dxa"/>
          </w:tblCellMar>
        </w:tblPrEx>
        <w:trPr>
          <w:trHeight w:val="397" w:hRule="atLeast"/>
          <w:jc w:val="center"/>
        </w:trPr>
        <w:tc>
          <w:tcPr>
            <w:tcW w:w="355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eastAsia="仿宋_GB2312"/>
                <w:color w:val="000000"/>
                <w:sz w:val="20"/>
              </w:rPr>
            </w:pPr>
            <w:r>
              <w:rPr>
                <w:rFonts w:eastAsia="仿宋_GB2312"/>
                <w:color w:val="000000"/>
                <w:sz w:val="20"/>
              </w:rPr>
              <w:t>四、结转下年度继续办理</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hint="eastAsia" w:eastAsia="仿宋_GB2312"/>
                <w:color w:val="000000"/>
                <w:sz w:val="20"/>
                <w:lang w:val="en-US" w:eastAsia="zh-CN"/>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5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81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97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71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center"/>
              <w:rPr>
                <w:rFonts w:eastAsia="仿宋_GB2312"/>
                <w:color w:val="000000"/>
                <w:sz w:val="20"/>
              </w:rPr>
            </w:pPr>
            <w:r>
              <w:rPr>
                <w:rFonts w:eastAsia="仿宋_GB2312"/>
                <w:color w:val="000000"/>
                <w:sz w:val="20"/>
              </w:rPr>
              <w:t> </w:t>
            </w:r>
            <w:r>
              <w:rPr>
                <w:rFonts w:hint="eastAsia" w:eastAsia="仿宋_GB2312"/>
                <w:color w:val="000000"/>
                <w:sz w:val="20"/>
                <w:lang w:val="en-US" w:eastAsia="zh-CN"/>
              </w:rPr>
              <w:t>0</w:t>
            </w:r>
          </w:p>
        </w:tc>
        <w:tc>
          <w:tcPr>
            <w:tcW w:w="69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spacing w:line="280" w:lineRule="exact"/>
              <w:jc w:val="left"/>
              <w:rPr>
                <w:rFonts w:hint="default" w:eastAsia="仿宋_GB2312"/>
                <w:color w:val="000000"/>
                <w:sz w:val="20"/>
                <w:lang w:val="en-US" w:eastAsia="zh-CN"/>
              </w:rPr>
            </w:pPr>
            <w:r>
              <w:rPr>
                <w:rFonts w:hint="eastAsia" w:eastAsia="仿宋_GB2312"/>
                <w:color w:val="000000"/>
                <w:sz w:val="20"/>
                <w:lang w:val="en-US" w:eastAsia="zh-CN"/>
              </w:rPr>
              <w:t xml:space="preserve">  0</w:t>
            </w:r>
          </w:p>
        </w:tc>
      </w:tr>
      <w:bookmarkEnd w:id="0"/>
    </w:tbl>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四、政府信息公开行政复议、行政诉讼情况</w:t>
      </w:r>
    </w:p>
    <w:tbl>
      <w:tblPr>
        <w:tblStyle w:val="2"/>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sz w:val="24"/>
                <w:szCs w:val="24"/>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cs="宋体"/>
                <w:color w:val="000000"/>
                <w:sz w:val="20"/>
                <w:lang w:val="en-US" w:eastAsia="zh-CN"/>
              </w:rPr>
              <w:t>0</w:t>
            </w:r>
            <w:r>
              <w:rPr>
                <w:rFonts w:cs="宋体"/>
                <w:color w:val="000000"/>
                <w:sz w:val="20"/>
              </w:rPr>
              <w:t> </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cs="宋体"/>
                <w:color w:val="000000"/>
                <w:sz w:val="20"/>
              </w:rPr>
              <w:t> </w:t>
            </w:r>
            <w:r>
              <w:rPr>
                <w:rFonts w:hint="eastAsia" w:cs="宋体"/>
                <w:color w:val="000000"/>
                <w:sz w:val="20"/>
                <w:lang w:val="en-US" w:eastAsia="zh-CN"/>
              </w:rPr>
              <w:t>0</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cs="宋体"/>
                <w:color w:val="000000"/>
                <w:sz w:val="20"/>
                <w:lang w:val="en-US" w:eastAsia="zh-CN"/>
              </w:rPr>
              <w:t>0</w:t>
            </w:r>
            <w:r>
              <w:rPr>
                <w:rFonts w:cs="宋体"/>
                <w:color w:val="000000"/>
                <w:sz w:val="20"/>
              </w:rPr>
              <w:t> </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ascii="宋体" w:hAnsi="宋体" w:cs="宋体"/>
                <w:color w:val="000000"/>
                <w:sz w:val="24"/>
                <w:szCs w:val="24"/>
              </w:rPr>
            </w:pPr>
            <w:r>
              <w:rPr>
                <w:rFonts w:hint="eastAsia" w:ascii="宋体" w:hAnsi="宋体" w:cs="宋体"/>
                <w:color w:val="000000"/>
                <w:sz w:val="20"/>
                <w:lang w:val="en-US" w:eastAsia="zh-CN"/>
              </w:rPr>
              <w:t>0</w:t>
            </w:r>
            <w:r>
              <w:rPr>
                <w:rFonts w:hint="eastAsia" w:ascii="宋体" w:hAnsi="宋体" w:cs="宋体"/>
                <w:color w:val="000000"/>
                <w:sz w:val="20"/>
              </w:rPr>
              <w:t> </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center"/>
              <w:rPr>
                <w:rFonts w:hint="eastAsia" w:ascii="宋体" w:hAnsi="宋体" w:eastAsia="宋体" w:cs="宋体"/>
                <w:color w:val="000000"/>
                <w:sz w:val="24"/>
                <w:szCs w:val="24"/>
                <w:lang w:val="en-US" w:eastAsia="zh-CN"/>
              </w:rPr>
            </w:pPr>
            <w:r>
              <w:rPr>
                <w:rFonts w:hint="eastAsia" w:ascii="宋体" w:hAnsi="宋体" w:cs="宋体"/>
                <w:color w:val="000000"/>
                <w:sz w:val="20"/>
              </w:rPr>
              <w:t> </w:t>
            </w:r>
            <w:r>
              <w:rPr>
                <w:rFonts w:hint="eastAsia" w:ascii="宋体" w:hAnsi="宋体" w:cs="宋体"/>
                <w:color w:val="000000"/>
                <w:sz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widowControl/>
              <w:jc w:val="lef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bl>
    <w:p>
      <w:pPr>
        <w:overflowPunct w:val="0"/>
        <w:spacing w:line="600" w:lineRule="exact"/>
        <w:ind w:firstLine="640" w:firstLineChars="200"/>
        <w:rPr>
          <w:rFonts w:eastAsia="黑体"/>
          <w:bCs/>
          <w:color w:val="000000"/>
          <w:sz w:val="32"/>
          <w:szCs w:val="32"/>
        </w:rPr>
      </w:pPr>
      <w:r>
        <w:rPr>
          <w:rFonts w:hint="eastAsia" w:eastAsia="黑体"/>
          <w:bCs/>
          <w:color w:val="000000"/>
          <w:sz w:val="32"/>
          <w:szCs w:val="32"/>
        </w:rPr>
        <w:t>五、存在的主要问题及改进情况</w:t>
      </w:r>
    </w:p>
    <w:p>
      <w:pPr>
        <w:overflowPunct w:val="0"/>
        <w:spacing w:line="60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2019年</w:t>
      </w:r>
      <w:r>
        <w:rPr>
          <w:rFonts w:hint="eastAsia" w:eastAsia="仿宋_GB2312"/>
          <w:color w:val="000000"/>
          <w:sz w:val="32"/>
          <w:szCs w:val="32"/>
        </w:rPr>
        <w:t>财政信息公开工作取得一定成效，但还存在公开范围有待扩大、公开内容有待细化等问题。</w:t>
      </w:r>
      <w:r>
        <w:rPr>
          <w:rFonts w:hint="eastAsia" w:eastAsia="仿宋_GB2312"/>
          <w:color w:val="000000"/>
          <w:sz w:val="32"/>
          <w:szCs w:val="32"/>
          <w:lang w:val="en-US" w:eastAsia="zh-CN"/>
        </w:rPr>
        <w:t>2020</w:t>
      </w:r>
      <w:r>
        <w:rPr>
          <w:rFonts w:hint="eastAsia" w:eastAsia="仿宋_GB2312"/>
          <w:color w:val="000000"/>
          <w:sz w:val="32"/>
          <w:szCs w:val="32"/>
        </w:rPr>
        <w:t>年，宜春市财政局</w:t>
      </w:r>
      <w:r>
        <w:rPr>
          <w:rFonts w:hint="eastAsia" w:eastAsia="仿宋_GB2312"/>
          <w:color w:val="000000"/>
          <w:sz w:val="32"/>
          <w:szCs w:val="32"/>
          <w:lang w:val="en-US" w:eastAsia="zh-CN"/>
        </w:rPr>
        <w:t>一是</w:t>
      </w:r>
      <w:r>
        <w:rPr>
          <w:rFonts w:hint="eastAsia" w:eastAsia="仿宋_GB2312"/>
          <w:color w:val="000000"/>
          <w:sz w:val="32"/>
          <w:szCs w:val="32"/>
        </w:rPr>
        <w:t>认真贯彻落实《中华人民共和国政府信息公开条例》</w:t>
      </w:r>
      <w:r>
        <w:rPr>
          <w:rFonts w:hint="eastAsia" w:eastAsia="仿宋_GB2312"/>
          <w:color w:val="000000"/>
          <w:sz w:val="32"/>
          <w:szCs w:val="32"/>
          <w:lang w:val="en-US" w:eastAsia="zh-CN"/>
        </w:rPr>
        <w:t>要求</w:t>
      </w:r>
      <w:r>
        <w:rPr>
          <w:rFonts w:hint="eastAsia" w:eastAsia="仿宋_GB2312"/>
          <w:color w:val="000000"/>
          <w:sz w:val="32"/>
          <w:szCs w:val="32"/>
        </w:rPr>
        <w:t>，坚持以公开为常态、不公开为例外，不断提高政府信息公开工作人员的思想认识和业务工作能力，不断扩大财政信息公开的范围，加强财政信息发布和政策解读。</w:t>
      </w:r>
      <w:r>
        <w:rPr>
          <w:rFonts w:hint="eastAsia" w:eastAsia="仿宋_GB2312"/>
          <w:color w:val="000000"/>
          <w:sz w:val="32"/>
          <w:szCs w:val="32"/>
          <w:lang w:val="en-US" w:eastAsia="zh-CN"/>
        </w:rPr>
        <w:t>二是强化</w:t>
      </w:r>
      <w:r>
        <w:rPr>
          <w:rFonts w:hint="eastAsia" w:eastAsia="仿宋_GB2312"/>
          <w:color w:val="000000"/>
          <w:sz w:val="32"/>
          <w:szCs w:val="32"/>
        </w:rPr>
        <w:t>预决算公开。</w:t>
      </w:r>
      <w:r>
        <w:rPr>
          <w:rFonts w:hint="eastAsia" w:eastAsia="仿宋_GB2312"/>
          <w:color w:val="000000"/>
          <w:sz w:val="32"/>
          <w:szCs w:val="32"/>
          <w:lang w:val="en-US" w:eastAsia="zh-CN"/>
        </w:rPr>
        <w:t>进一步加强对县（市、区）和市直各部门的预决算公开指导，不断规范预决算公开的公开主体、公开内容、公开时限、公开形式等</w:t>
      </w:r>
      <w:r>
        <w:rPr>
          <w:rFonts w:hint="eastAsia" w:eastAsia="仿宋_GB2312"/>
          <w:color w:val="000000"/>
          <w:sz w:val="32"/>
          <w:szCs w:val="32"/>
        </w:rPr>
        <w:t>。</w:t>
      </w:r>
    </w:p>
    <w:p>
      <w:pPr>
        <w:overflowPunct w:val="0"/>
        <w:spacing w:line="600" w:lineRule="exact"/>
        <w:ind w:firstLine="640" w:firstLineChars="200"/>
        <w:rPr>
          <w:rFonts w:hint="eastAsia" w:eastAsia="黑体"/>
          <w:bCs/>
          <w:color w:val="000000"/>
          <w:sz w:val="32"/>
          <w:szCs w:val="32"/>
        </w:rPr>
      </w:pPr>
      <w:r>
        <w:rPr>
          <w:rFonts w:hint="eastAsia" w:eastAsia="黑体"/>
          <w:bCs/>
          <w:color w:val="000000"/>
          <w:sz w:val="32"/>
          <w:szCs w:val="32"/>
        </w:rPr>
        <w:t>六、其他需要报告的事项</w:t>
      </w:r>
    </w:p>
    <w:p>
      <w:pPr>
        <w:spacing w:line="600" w:lineRule="exact"/>
        <w:ind w:firstLine="640" w:firstLineChars="200"/>
        <w:rPr>
          <w:rFonts w:hint="eastAsia" w:eastAsia="宋体"/>
          <w:lang w:eastAsia="zh-CN"/>
        </w:rPr>
      </w:pPr>
      <w:r>
        <w:rPr>
          <w:rFonts w:hint="eastAsia" w:eastAsia="仿宋_GB2312"/>
          <w:color w:val="000000"/>
          <w:sz w:val="32"/>
          <w:szCs w:val="32"/>
          <w:lang w:val="en-US" w:eastAsia="zh-CN"/>
        </w:rPr>
        <w:t>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43010"/>
    <w:rsid w:val="001960B2"/>
    <w:rsid w:val="1D0A57A3"/>
    <w:rsid w:val="1EB8547B"/>
    <w:rsid w:val="1F9D59BF"/>
    <w:rsid w:val="2CD50876"/>
    <w:rsid w:val="2E3E1C6E"/>
    <w:rsid w:val="33543010"/>
    <w:rsid w:val="391811A7"/>
    <w:rsid w:val="3DC82477"/>
    <w:rsid w:val="4D8E3527"/>
    <w:rsid w:val="4E2873B8"/>
    <w:rsid w:val="513E3D31"/>
    <w:rsid w:val="5D957BC3"/>
    <w:rsid w:val="5F540235"/>
    <w:rsid w:val="631E3D2B"/>
    <w:rsid w:val="6B6E5640"/>
    <w:rsid w:val="7AA8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2020-01-20T07:20:00Z</dcterms:created>
  <dc:creator>零落烟灰</dc:creator>
  <cp:lastModifiedBy>零落烟灰</cp:lastModifiedBy>
  <cp:lastPrinted>2020-01-21T03:39:00Z</cp:lastPrinted>
  <dcterms:modified xsi:type="dcterms:W3CDTF">2021-05-11T09:03:36Z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357708DDFAF3457682ABA28F88CF6295</vt:lpwstr>
  </property>
</Properties>
</file>