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default" w:ascii="方正小标宋简体" w:hAnsi="宋体" w:eastAsia="方正小标宋简体" w:cs="宋体"/>
          <w:bCs/>
          <w:color w:val="000000"/>
          <w:sz w:val="44"/>
          <w:szCs w:val="44"/>
          <w:lang w:val="en-US" w:eastAsia="zh-CN"/>
        </w:rPr>
      </w:pPr>
      <w:r>
        <w:rPr>
          <w:rFonts w:hint="eastAsia" w:ascii="方正小标宋简体" w:hAnsi="宋体" w:eastAsia="方正小标宋简体" w:cs="宋体"/>
          <w:bCs/>
          <w:color w:val="000000"/>
          <w:sz w:val="44"/>
          <w:szCs w:val="44"/>
          <w:lang w:val="en-US" w:eastAsia="zh-CN"/>
        </w:rPr>
        <w:t>宜春市财政局</w:t>
      </w:r>
    </w:p>
    <w:p>
      <w:pPr>
        <w:widowControl/>
        <w:jc w:val="center"/>
        <w:rPr>
          <w:rFonts w:hint="eastAsia" w:ascii="方正小标宋简体" w:hAnsi="宋体" w:eastAsia="方正小标宋简体" w:cs="宋体"/>
          <w:color w:val="000000"/>
          <w:sz w:val="44"/>
          <w:szCs w:val="44"/>
        </w:rPr>
      </w:pPr>
      <w:r>
        <w:rPr>
          <w:rFonts w:hint="eastAsia" w:ascii="方正小标宋简体" w:hAnsi="宋体" w:eastAsia="方正小标宋简体" w:cs="宋体"/>
          <w:bCs/>
          <w:color w:val="000000"/>
          <w:sz w:val="44"/>
          <w:szCs w:val="44"/>
          <w:lang w:val="en-US" w:eastAsia="zh-CN"/>
        </w:rPr>
        <w:t>2020年</w:t>
      </w:r>
      <w:r>
        <w:rPr>
          <w:rFonts w:hint="eastAsia" w:ascii="方正小标宋简体" w:hAnsi="宋体" w:eastAsia="方正小标宋简体" w:cs="宋体"/>
          <w:bCs/>
          <w:color w:val="000000"/>
          <w:sz w:val="44"/>
          <w:szCs w:val="44"/>
        </w:rPr>
        <w:t>政府信息公开工作年度报告</w:t>
      </w:r>
    </w:p>
    <w:p>
      <w:pPr>
        <w:widowControl/>
        <w:ind w:firstLine="480"/>
        <w:rPr>
          <w:rFonts w:hint="eastAsia" w:ascii="宋体" w:hAnsi="宋体" w:cs="宋体"/>
          <w:color w:val="000000"/>
          <w:sz w:val="24"/>
          <w:szCs w:val="24"/>
        </w:rPr>
      </w:pP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textAlignment w:val="baseline"/>
        <w:rPr>
          <w:rFonts w:eastAsia="黑体"/>
          <w:color w:val="000000"/>
          <w:sz w:val="32"/>
          <w:szCs w:val="32"/>
        </w:rPr>
      </w:pPr>
      <w:r>
        <w:rPr>
          <w:rFonts w:eastAsia="黑体"/>
          <w:bCs/>
          <w:color w:val="000000"/>
          <w:sz w:val="32"/>
          <w:szCs w:val="32"/>
        </w:rPr>
        <w:t>一、总体情况</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textAlignment w:val="baseline"/>
        <w:rPr>
          <w:rFonts w:hint="eastAsia" w:eastAsia="仿宋_GB2312"/>
          <w:color w:val="000000"/>
          <w:sz w:val="32"/>
          <w:szCs w:val="32"/>
        </w:rPr>
      </w:pPr>
      <w:r>
        <w:rPr>
          <w:rFonts w:hint="eastAsia" w:eastAsia="仿宋_GB2312"/>
          <w:color w:val="000000"/>
          <w:sz w:val="32"/>
          <w:szCs w:val="32"/>
        </w:rPr>
        <w:t>20</w:t>
      </w:r>
      <w:r>
        <w:rPr>
          <w:rFonts w:hint="eastAsia" w:eastAsia="仿宋_GB2312"/>
          <w:color w:val="000000"/>
          <w:sz w:val="32"/>
          <w:szCs w:val="32"/>
          <w:lang w:val="en-US" w:eastAsia="zh-CN"/>
        </w:rPr>
        <w:t>20</w:t>
      </w:r>
      <w:r>
        <w:rPr>
          <w:rFonts w:hint="eastAsia" w:eastAsia="仿宋_GB2312"/>
          <w:color w:val="000000"/>
          <w:sz w:val="32"/>
          <w:szCs w:val="32"/>
        </w:rPr>
        <w:t>年，</w:t>
      </w:r>
      <w:r>
        <w:rPr>
          <w:rFonts w:hint="eastAsia" w:eastAsia="仿宋_GB2312"/>
          <w:color w:val="000000"/>
          <w:sz w:val="32"/>
          <w:szCs w:val="32"/>
          <w:lang w:val="en-US" w:eastAsia="zh-CN"/>
        </w:rPr>
        <w:t>宜春市财政局</w:t>
      </w:r>
      <w:r>
        <w:rPr>
          <w:rFonts w:hint="eastAsia" w:eastAsia="仿宋_GB2312"/>
          <w:color w:val="000000"/>
          <w:sz w:val="32"/>
          <w:szCs w:val="32"/>
        </w:rPr>
        <w:t>根据《中华人民共和国政府信息公开条例》的规定，严格遵照《宜春市人民政府</w:t>
      </w:r>
      <w:r>
        <w:rPr>
          <w:rFonts w:hint="eastAsia" w:eastAsia="仿宋_GB2312"/>
          <w:color w:val="000000"/>
          <w:sz w:val="32"/>
          <w:szCs w:val="32"/>
          <w:lang w:val="en-US" w:eastAsia="zh-CN"/>
        </w:rPr>
        <w:t>关于印发宜春市政府信息公开暂行规定及其六项配套制度的通知》</w:t>
      </w:r>
      <w:r>
        <w:rPr>
          <w:rFonts w:hint="eastAsia" w:eastAsia="仿宋_GB2312"/>
          <w:color w:val="000000"/>
          <w:sz w:val="32"/>
          <w:szCs w:val="32"/>
        </w:rPr>
        <w:t>的要求，遵循公正、公平、合法、便民的原则，持续加大财政信息主动公开力度，着力推进政府及其部门财政预决算、减税降费等重点领域信息公开，积极做好依申请公开工作，切实保障公民、法人和其他组织知晓权，提高财政工作的透明度，建设法治财政。</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textAlignment w:val="baseline"/>
        <w:rPr>
          <w:rFonts w:hint="eastAsia" w:eastAsia="仿宋_GB2312"/>
          <w:color w:val="000000"/>
          <w:sz w:val="32"/>
          <w:szCs w:val="32"/>
        </w:rPr>
      </w:pPr>
      <w:r>
        <w:rPr>
          <w:rFonts w:hint="eastAsia" w:eastAsia="仿宋_GB2312"/>
          <w:color w:val="000000"/>
          <w:sz w:val="32"/>
          <w:szCs w:val="32"/>
        </w:rPr>
        <w:t>本年报中所列数据的统计期限自20</w:t>
      </w:r>
      <w:r>
        <w:rPr>
          <w:rFonts w:hint="eastAsia" w:eastAsia="仿宋_GB2312"/>
          <w:color w:val="000000"/>
          <w:sz w:val="32"/>
          <w:szCs w:val="32"/>
          <w:lang w:val="en-US" w:eastAsia="zh-CN"/>
        </w:rPr>
        <w:t>20</w:t>
      </w:r>
      <w:r>
        <w:rPr>
          <w:rFonts w:hint="eastAsia" w:eastAsia="仿宋_GB2312"/>
          <w:color w:val="000000"/>
          <w:sz w:val="32"/>
          <w:szCs w:val="32"/>
        </w:rPr>
        <w:t>年1月1日起至20</w:t>
      </w:r>
      <w:r>
        <w:rPr>
          <w:rFonts w:hint="eastAsia" w:eastAsia="仿宋_GB2312"/>
          <w:color w:val="000000"/>
          <w:sz w:val="32"/>
          <w:szCs w:val="32"/>
          <w:lang w:val="en-US" w:eastAsia="zh-CN"/>
        </w:rPr>
        <w:t>20</w:t>
      </w:r>
      <w:r>
        <w:rPr>
          <w:rFonts w:hint="eastAsia" w:eastAsia="仿宋_GB2312"/>
          <w:color w:val="000000"/>
          <w:sz w:val="32"/>
          <w:szCs w:val="32"/>
        </w:rPr>
        <w:t>年12月31日止。</w:t>
      </w:r>
      <w:r>
        <w:rPr>
          <w:rFonts w:hint="eastAsia" w:eastAsia="仿宋_GB2312"/>
          <w:color w:val="000000"/>
          <w:sz w:val="32"/>
          <w:szCs w:val="32"/>
          <w:lang w:val="en-US" w:eastAsia="zh-CN"/>
        </w:rPr>
        <w:t>可在</w:t>
      </w:r>
      <w:r>
        <w:rPr>
          <w:rFonts w:hint="eastAsia" w:eastAsia="仿宋_GB2312"/>
          <w:color w:val="000000"/>
          <w:sz w:val="32"/>
          <w:szCs w:val="32"/>
        </w:rPr>
        <w:t>宜春市财政局门户网站（http://czj.yichun.gov.cn/，以下简称门户网站）查阅本报告。如对本报告有疑问，请与宜春市财政局秘书科联系（地址：江西省宜春市宜阳大厦东座729室，邮编：336000，电话：0795-3567034，兼传真）。</w:t>
      </w:r>
    </w:p>
    <w:p>
      <w:pPr>
        <w:keepNext w:val="0"/>
        <w:keepLines w:val="0"/>
        <w:pageBreakBefore w:val="0"/>
        <w:widowControl w:val="0"/>
        <w:kinsoku/>
        <w:wordWrap/>
        <w:overflowPunct w:val="0"/>
        <w:topLinePunct w:val="0"/>
        <w:autoSpaceDE/>
        <w:autoSpaceDN/>
        <w:bidi w:val="0"/>
        <w:adjustRightInd w:val="0"/>
        <w:snapToGrid/>
        <w:spacing w:line="600" w:lineRule="exact"/>
        <w:ind w:firstLine="643" w:firstLineChars="200"/>
        <w:textAlignment w:val="baseline"/>
        <w:rPr>
          <w:rFonts w:hint="default" w:eastAsia="仿宋_GB2312"/>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主动公开落实有力。</w:t>
      </w:r>
      <w:r>
        <w:rPr>
          <w:rFonts w:hint="eastAsia" w:eastAsia="仿宋_GB2312"/>
          <w:color w:val="000000"/>
          <w:sz w:val="32"/>
          <w:szCs w:val="32"/>
          <w:lang w:val="en-US" w:eastAsia="zh-CN"/>
        </w:rPr>
        <w:t>一是切实加强局网站信息公开工作，2020年累计在局网站发布信息2406条，其中：政务动态信息更新量1969条、信息公开目录信息更新量439条。二是推动新媒体建设，及时更新发布财政重要动态信息，“宜春财政”公众号全年更新信息296条；三是定期编制《财经要闻传阅》和《业务学习与交流》月刊，将每月中央财政信息、政策、经济形势评论文章等编制成册，不断丰富全市财政干部理论学习资料，提升干部综合素养，助力全市经济社会又好又快发展。</w:t>
      </w:r>
    </w:p>
    <w:p>
      <w:pPr>
        <w:keepNext w:val="0"/>
        <w:keepLines w:val="0"/>
        <w:pageBreakBefore w:val="0"/>
        <w:widowControl w:val="0"/>
        <w:kinsoku/>
        <w:wordWrap/>
        <w:overflowPunct w:val="0"/>
        <w:topLinePunct w:val="0"/>
        <w:autoSpaceDE/>
        <w:autoSpaceDN/>
        <w:bidi w:val="0"/>
        <w:adjustRightInd w:val="0"/>
        <w:snapToGrid/>
        <w:spacing w:line="600" w:lineRule="exact"/>
        <w:ind w:firstLine="643" w:firstLineChars="200"/>
        <w:textAlignment w:val="baseline"/>
        <w:rPr>
          <w:rFonts w:hint="default" w:eastAsia="仿宋_GB2312"/>
          <w:color w:val="000000"/>
          <w:sz w:val="32"/>
          <w:szCs w:val="32"/>
          <w:lang w:val="en-US" w:eastAsia="zh-CN"/>
        </w:rPr>
      </w:pPr>
      <w:r>
        <w:rPr>
          <w:rFonts w:hint="eastAsia" w:ascii="楷体_GB2312" w:hAnsi="楷体_GB2312" w:eastAsia="楷体_GB2312" w:cs="楷体_GB2312"/>
          <w:b/>
          <w:bCs/>
          <w:color w:val="000000"/>
          <w:sz w:val="32"/>
          <w:szCs w:val="32"/>
          <w:lang w:val="en-US" w:eastAsia="zh-CN"/>
        </w:rPr>
        <w:t>全面推行公开理念。</w:t>
      </w:r>
      <w:r>
        <w:rPr>
          <w:rFonts w:hint="eastAsia" w:eastAsia="仿宋_GB2312"/>
          <w:color w:val="000000"/>
          <w:sz w:val="32"/>
          <w:szCs w:val="32"/>
          <w:lang w:val="en-US" w:eastAsia="zh-CN"/>
        </w:rPr>
        <w:t>严格按照文件拟定的相关程序，向社会公开征集了意见建议、文件制定的依据、意见采纳情况等。设置专栏及时公开了人大代表意见和政协委员提案办理情况,并将办理情况及时公开。按要求做好了依申请公开工作，实行专人负责，并严格按照“谁产生、谁提供、谁负责”的原则，由各科室提供相关答复材料，统一答复，全年共办理依申请公开件4件，无不良反应。积极组织全局干部参加了《信息公开条例》网上知识竞赛，全局113人参加，人均等分98.67分。</w:t>
      </w:r>
    </w:p>
    <w:p>
      <w:pPr>
        <w:ind w:firstLine="643" w:firstLineChars="200"/>
        <w:jc w:val="both"/>
        <w:rPr>
          <w:rFonts w:hint="default" w:eastAsia="仿宋_GB2312"/>
          <w:color w:val="000000"/>
          <w:sz w:val="32"/>
          <w:szCs w:val="32"/>
          <w:lang w:val="en-US" w:eastAsia="zh-CN"/>
        </w:rPr>
      </w:pPr>
      <w:r>
        <w:rPr>
          <w:rFonts w:hint="eastAsia" w:ascii="楷体_GB2312" w:hAnsi="楷体_GB2312" w:eastAsia="楷体_GB2312" w:cs="楷体_GB2312"/>
          <w:b/>
          <w:bCs/>
          <w:color w:val="000000"/>
          <w:sz w:val="32"/>
          <w:szCs w:val="32"/>
          <w:lang w:val="en-US" w:eastAsia="zh-CN"/>
        </w:rPr>
        <w:t>政务公开标准规范。</w:t>
      </w:r>
      <w:r>
        <w:rPr>
          <w:rFonts w:hint="eastAsia" w:eastAsia="仿宋_GB2312"/>
          <w:color w:val="000000"/>
          <w:sz w:val="32"/>
          <w:szCs w:val="32"/>
          <w:lang w:val="en-US" w:eastAsia="zh-CN"/>
        </w:rPr>
        <w:t>按照市政府政务公开办工作要求，宜春市财政局提请市政府印发了《宜春市财政预决算领域基层政务公开标准目录》。依照信息公开相关条例，及时查漏补缺，修改完善了宜春市财政局政务公开专栏，增设了“建议提案办理”、“重点领域”等栏目；以“优环境、促发展”大讨论活动为契机，更新完善了《宜春市财政局政务信息报送及平台咨询回复管理办法》，对咨询回复等舆情处置工作提出了明确的要求。</w:t>
      </w:r>
    </w:p>
    <w:p>
      <w:pPr>
        <w:ind w:firstLine="643" w:firstLineChars="200"/>
        <w:jc w:val="both"/>
        <w:rPr>
          <w:rFonts w:hint="default" w:eastAsia="仿宋_GB2312"/>
          <w:color w:val="000000"/>
          <w:sz w:val="32"/>
          <w:szCs w:val="32"/>
          <w:lang w:val="en-US" w:eastAsia="zh-CN"/>
        </w:rPr>
      </w:pPr>
      <w:r>
        <w:rPr>
          <w:rFonts w:hint="eastAsia" w:ascii="楷体_GB2312" w:hAnsi="楷体_GB2312" w:eastAsia="楷体_GB2312" w:cs="楷体_GB2312"/>
          <w:b/>
          <w:bCs/>
          <w:color w:val="000000"/>
          <w:sz w:val="32"/>
          <w:szCs w:val="32"/>
          <w:lang w:val="en-US" w:eastAsia="zh-CN"/>
        </w:rPr>
        <w:t>积极做好政策文件解读。</w:t>
      </w:r>
      <w:r>
        <w:rPr>
          <w:rFonts w:hint="eastAsia" w:eastAsia="仿宋_GB2312"/>
          <w:color w:val="000000"/>
          <w:sz w:val="32"/>
          <w:szCs w:val="32"/>
          <w:lang w:val="en-US" w:eastAsia="zh-CN"/>
        </w:rPr>
        <w:t>根据宜春市人民政府办公室《重大决策部署重要政策举措发布解读实施办法》（宜府办字</w:t>
      </w:r>
      <w:r>
        <w:rPr>
          <w:rFonts w:hint="eastAsia" w:ascii="宋体" w:hAnsi="宋体" w:eastAsia="宋体" w:cs="宋体"/>
          <w:color w:val="000000"/>
          <w:sz w:val="32"/>
          <w:szCs w:val="32"/>
          <w:lang w:val="en-US" w:eastAsia="zh-CN"/>
        </w:rPr>
        <w:t>〔</w:t>
      </w:r>
      <w:r>
        <w:rPr>
          <w:rFonts w:hint="eastAsia" w:eastAsia="仿宋_GB2312"/>
          <w:color w:val="000000"/>
          <w:sz w:val="32"/>
          <w:szCs w:val="32"/>
          <w:lang w:val="en-US" w:eastAsia="zh-CN"/>
        </w:rPr>
        <w:t>2019</w:t>
      </w:r>
      <w:r>
        <w:rPr>
          <w:rFonts w:hint="eastAsia" w:ascii="宋体" w:hAnsi="宋体" w:eastAsia="宋体" w:cs="宋体"/>
          <w:color w:val="000000"/>
          <w:sz w:val="32"/>
          <w:szCs w:val="32"/>
          <w:lang w:val="en-US" w:eastAsia="zh-CN"/>
        </w:rPr>
        <w:t>〕</w:t>
      </w:r>
      <w:r>
        <w:rPr>
          <w:rFonts w:hint="eastAsia" w:eastAsia="仿宋_GB2312"/>
          <w:color w:val="000000"/>
          <w:sz w:val="32"/>
          <w:szCs w:val="32"/>
          <w:lang w:val="en-US" w:eastAsia="zh-CN"/>
        </w:rPr>
        <w:t>78号文件）要求，对市财政局起草报送市政府的规范性文件，及时做好了政策解读，报送了解读方案和解读材料；积极回应社会关切热点话题，全年召开新闻发布会四场，积极配合市政府参加了12345热线答疑等。及时做好了“你建言、我来办”的认领答复工作，认领事项均已按期答复。</w:t>
      </w:r>
    </w:p>
    <w:p>
      <w:pPr>
        <w:ind w:firstLine="643" w:firstLineChars="200"/>
        <w:jc w:val="both"/>
        <w:rPr>
          <w:rFonts w:hint="default" w:eastAsia="仿宋_GB2312"/>
          <w:color w:val="000000"/>
          <w:sz w:val="32"/>
          <w:szCs w:val="32"/>
          <w:lang w:val="en-US" w:eastAsia="zh-CN"/>
        </w:rPr>
      </w:pPr>
      <w:r>
        <w:rPr>
          <w:rFonts w:hint="eastAsia" w:ascii="楷体_GB2312" w:hAnsi="楷体_GB2312" w:eastAsia="楷体_GB2312" w:cs="楷体_GB2312"/>
          <w:b/>
          <w:bCs/>
          <w:color w:val="000000"/>
          <w:sz w:val="32"/>
          <w:szCs w:val="32"/>
          <w:lang w:val="en-US" w:eastAsia="zh-CN"/>
        </w:rPr>
        <w:t>依法依规做好财政资金、债券、收支信息公开。</w:t>
      </w:r>
      <w:r>
        <w:rPr>
          <w:rFonts w:hint="eastAsia" w:eastAsia="仿宋_GB2312"/>
          <w:color w:val="000000"/>
          <w:sz w:val="32"/>
          <w:szCs w:val="32"/>
          <w:lang w:val="en-US" w:eastAsia="zh-CN"/>
        </w:rPr>
        <w:t>严格按照预决算公开相关规定，在宜春市财政局网站设了预决算公开专栏，对包括政务债务、“三公”经费在内的政府预决算和部门预决算进行了公开，实现了预决算公开“公开时间、公开格式、公开平台”。在网站的“数据发布”专栏每月定期公开了全市财政收支等信息。</w:t>
      </w:r>
    </w:p>
    <w:p>
      <w:pPr>
        <w:keepNext w:val="0"/>
        <w:keepLines w:val="0"/>
        <w:pageBreakBefore w:val="0"/>
        <w:widowControl w:val="0"/>
        <w:kinsoku/>
        <w:wordWrap/>
        <w:overflowPunct w:val="0"/>
        <w:topLinePunct w:val="0"/>
        <w:autoSpaceDE/>
        <w:autoSpaceDN/>
        <w:bidi w:val="0"/>
        <w:adjustRightInd w:val="0"/>
        <w:snapToGrid/>
        <w:spacing w:line="600" w:lineRule="exact"/>
        <w:ind w:firstLine="643" w:firstLineChars="200"/>
        <w:textAlignment w:val="baseline"/>
        <w:rPr>
          <w:rFonts w:hint="default" w:eastAsia="仿宋_GB2312"/>
          <w:color w:val="000000"/>
          <w:sz w:val="32"/>
          <w:szCs w:val="32"/>
          <w:lang w:val="en-US" w:eastAsia="zh-CN"/>
        </w:rPr>
      </w:pPr>
      <w:r>
        <w:rPr>
          <w:rFonts w:hint="eastAsia" w:ascii="楷体_GB2312" w:hAnsi="楷体_GB2312" w:eastAsia="楷体_GB2312" w:cs="楷体_GB2312"/>
          <w:b/>
          <w:bCs/>
          <w:color w:val="000000"/>
          <w:sz w:val="32"/>
          <w:szCs w:val="32"/>
          <w:lang w:val="en-US" w:eastAsia="zh-CN"/>
        </w:rPr>
        <w:t>监督保障常抓不懈。</w:t>
      </w:r>
      <w:r>
        <w:rPr>
          <w:rFonts w:hint="eastAsia" w:eastAsia="仿宋_GB2312"/>
          <w:color w:val="000000"/>
          <w:sz w:val="32"/>
          <w:szCs w:val="32"/>
          <w:lang w:val="en-US" w:eastAsia="zh-CN"/>
        </w:rPr>
        <w:t>一是</w:t>
      </w:r>
      <w:r>
        <w:rPr>
          <w:rFonts w:hint="default" w:eastAsia="仿宋_GB2312"/>
          <w:color w:val="000000"/>
          <w:sz w:val="32"/>
          <w:szCs w:val="32"/>
          <w:lang w:val="en-US" w:eastAsia="zh-CN"/>
        </w:rPr>
        <w:t>根据《宜春市财政局宣传工作管理暂行办法》要求，由我局秘书科牵头开展政府信息公开管理工作，建立健全信息公开监督检查机制，定期通报全市财政信息</w:t>
      </w:r>
      <w:r>
        <w:rPr>
          <w:rFonts w:hint="eastAsia" w:eastAsia="仿宋_GB2312"/>
          <w:color w:val="000000"/>
          <w:sz w:val="32"/>
          <w:szCs w:val="32"/>
          <w:lang w:val="en-US" w:eastAsia="zh-CN"/>
        </w:rPr>
        <w:t>工作</w:t>
      </w:r>
      <w:r>
        <w:rPr>
          <w:rFonts w:hint="default" w:eastAsia="仿宋_GB2312"/>
          <w:color w:val="000000"/>
          <w:sz w:val="32"/>
          <w:szCs w:val="32"/>
          <w:lang w:val="en-US" w:eastAsia="zh-CN"/>
        </w:rPr>
        <w:t>情况，及时传导压力，增强各</w:t>
      </w:r>
      <w:r>
        <w:rPr>
          <w:rFonts w:hint="eastAsia" w:eastAsia="仿宋_GB2312"/>
          <w:color w:val="000000"/>
          <w:sz w:val="32"/>
          <w:szCs w:val="32"/>
          <w:lang w:val="en-US" w:eastAsia="zh-CN"/>
        </w:rPr>
        <w:t>县（市、区）财政局和局各科室做好政府信息公开</w:t>
      </w:r>
      <w:r>
        <w:rPr>
          <w:rFonts w:hint="default" w:eastAsia="仿宋_GB2312"/>
          <w:color w:val="000000"/>
          <w:sz w:val="32"/>
          <w:szCs w:val="32"/>
          <w:lang w:val="en-US" w:eastAsia="zh-CN"/>
        </w:rPr>
        <w:t>的积极性。将局网站信息采用情况纳入科室工作综合考核和县级财政工作综合考核，不断增强约束力。</w:t>
      </w:r>
      <w:r>
        <w:rPr>
          <w:rFonts w:hint="eastAsia" w:eastAsia="仿宋_GB2312"/>
          <w:color w:val="000000"/>
          <w:sz w:val="32"/>
          <w:szCs w:val="32"/>
          <w:lang w:val="en-US" w:eastAsia="zh-CN"/>
        </w:rPr>
        <w:t>二是根据预决算公开的相关文件要求，由我局预算科、国库科分别牵头对各县（市、区）政府预决算公开和市直各部门预决算公开进行指导，围绕公开主体、公开内容、公开时限、公开形式等方面开展了抽查检查，督促各县（市、区）财政局、市直各部门依法依规做好公开工作。</w:t>
      </w:r>
    </w:p>
    <w:p>
      <w:pPr>
        <w:overflowPunct w:val="0"/>
        <w:spacing w:line="600" w:lineRule="exact"/>
        <w:ind w:firstLine="640" w:firstLineChars="200"/>
        <w:rPr>
          <w:rFonts w:hint="eastAsia" w:eastAsia="黑体"/>
          <w:bCs/>
          <w:color w:val="000000"/>
          <w:sz w:val="32"/>
          <w:szCs w:val="32"/>
        </w:rPr>
      </w:pPr>
      <w:r>
        <w:rPr>
          <w:rFonts w:eastAsia="黑体"/>
          <w:bCs/>
          <w:color w:val="000000"/>
          <w:sz w:val="32"/>
          <w:szCs w:val="32"/>
        </w:rPr>
        <w:t>二、主动公开政府信息情况</w:t>
      </w:r>
    </w:p>
    <w:tbl>
      <w:tblPr>
        <w:tblStyle w:val="2"/>
        <w:tblW w:w="8868" w:type="dxa"/>
        <w:jc w:val="center"/>
        <w:tblLayout w:type="autofit"/>
        <w:tblCellMar>
          <w:top w:w="15" w:type="dxa"/>
          <w:left w:w="15" w:type="dxa"/>
          <w:bottom w:w="15" w:type="dxa"/>
          <w:right w:w="15" w:type="dxa"/>
        </w:tblCellMar>
      </w:tblPr>
      <w:tblGrid>
        <w:gridCol w:w="3249"/>
        <w:gridCol w:w="1936"/>
        <w:gridCol w:w="1765"/>
        <w:gridCol w:w="6"/>
        <w:gridCol w:w="1912"/>
      </w:tblGrid>
      <w:tr>
        <w:tblPrEx>
          <w:tblCellMar>
            <w:top w:w="15" w:type="dxa"/>
            <w:left w:w="15" w:type="dxa"/>
            <w:bottom w:w="15" w:type="dxa"/>
            <w:right w:w="15" w:type="dxa"/>
          </w:tblCellMar>
        </w:tblPrEx>
        <w:trPr>
          <w:trHeight w:val="510" w:hRule="atLeast"/>
          <w:jc w:val="center"/>
        </w:trPr>
        <w:tc>
          <w:tcPr>
            <w:tcW w:w="8868"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第二十条第（一）项</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信息内容</w:t>
            </w:r>
          </w:p>
        </w:tc>
        <w:tc>
          <w:tcPr>
            <w:tcW w:w="1936"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本年新制作数量</w:t>
            </w:r>
          </w:p>
        </w:tc>
        <w:tc>
          <w:tcPr>
            <w:tcW w:w="1771" w:type="dxa"/>
            <w:gridSpan w:val="2"/>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本年新公开数量</w:t>
            </w:r>
          </w:p>
        </w:tc>
        <w:tc>
          <w:tcPr>
            <w:tcW w:w="1912"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对外公开总数量</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eastAsia="仿宋_GB2312"/>
                <w:color w:val="000000"/>
                <w:sz w:val="22"/>
                <w:szCs w:val="22"/>
              </w:rPr>
            </w:pPr>
            <w:r>
              <w:rPr>
                <w:rFonts w:eastAsia="仿宋_GB2312"/>
                <w:color w:val="000000"/>
                <w:sz w:val="22"/>
                <w:szCs w:val="22"/>
              </w:rPr>
              <w:t>规章</w:t>
            </w:r>
          </w:p>
        </w:tc>
        <w:tc>
          <w:tcPr>
            <w:tcW w:w="1936"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ascii="Times New Roman" w:hAnsi="Times New Roman" w:eastAsia="仿宋_GB2312" w:cs="Times New Roman"/>
                <w:color w:val="000000"/>
                <w:sz w:val="22"/>
                <w:szCs w:val="22"/>
                <w:lang w:val="en-US" w:eastAsia="zh-CN" w:bidi="ar-SA"/>
              </w:rPr>
            </w:pPr>
            <w:r>
              <w:rPr>
                <w:rFonts w:eastAsia="仿宋_GB2312"/>
                <w:color w:val="000000"/>
                <w:sz w:val="22"/>
                <w:szCs w:val="22"/>
              </w:rPr>
              <w:t>　</w:t>
            </w:r>
            <w:r>
              <w:rPr>
                <w:rFonts w:hint="eastAsia" w:eastAsia="仿宋_GB2312"/>
                <w:color w:val="000000"/>
                <w:sz w:val="22"/>
                <w:szCs w:val="22"/>
                <w:lang w:val="en-US" w:eastAsia="zh-CN"/>
              </w:rPr>
              <w:t>0</w:t>
            </w:r>
          </w:p>
        </w:tc>
        <w:tc>
          <w:tcPr>
            <w:tcW w:w="1771"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300" w:lineRule="exact"/>
              <w:ind w:firstLine="220" w:firstLineChars="100"/>
              <w:jc w:val="left"/>
              <w:rPr>
                <w:rFonts w:hint="eastAsia" w:ascii="Times New Roman" w:hAnsi="Times New Roman" w:eastAsia="仿宋_GB2312" w:cs="Times New Roman"/>
                <w:color w:val="000000"/>
                <w:sz w:val="22"/>
                <w:szCs w:val="22"/>
                <w:lang w:val="en-US" w:eastAsia="zh-CN" w:bidi="ar-SA"/>
              </w:rPr>
            </w:pPr>
            <w:r>
              <w:rPr>
                <w:rFonts w:hint="eastAsia" w:eastAsia="仿宋_GB2312"/>
                <w:color w:val="000000"/>
                <w:sz w:val="22"/>
                <w:szCs w:val="22"/>
                <w:lang w:val="en-US" w:eastAsia="zh-CN"/>
              </w:rPr>
              <w:t>0</w:t>
            </w:r>
            <w:r>
              <w:rPr>
                <w:rFonts w:eastAsia="仿宋_GB2312"/>
                <w:color w:val="000000"/>
                <w:sz w:val="22"/>
                <w:szCs w:val="22"/>
              </w:rPr>
              <w:t>　</w:t>
            </w:r>
          </w:p>
        </w:tc>
        <w:tc>
          <w:tcPr>
            <w:tcW w:w="1912"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ascii="Times New Roman" w:hAnsi="Times New Roman" w:eastAsia="仿宋_GB2312" w:cs="Times New Roman"/>
                <w:color w:val="000000"/>
                <w:sz w:val="22"/>
                <w:szCs w:val="22"/>
                <w:lang w:val="en-US" w:eastAsia="zh-CN" w:bidi="ar-SA"/>
              </w:rPr>
            </w:pPr>
            <w:r>
              <w:rPr>
                <w:rFonts w:eastAsia="仿宋_GB2312"/>
                <w:color w:val="000000"/>
                <w:sz w:val="22"/>
                <w:szCs w:val="22"/>
              </w:rPr>
              <w:t>　</w:t>
            </w:r>
            <w:r>
              <w:rPr>
                <w:rFonts w:hint="eastAsia" w:eastAsia="仿宋_GB2312"/>
                <w:color w:val="000000"/>
                <w:sz w:val="22"/>
                <w:szCs w:val="22"/>
                <w:lang w:val="en-US" w:eastAsia="zh-CN"/>
              </w:rPr>
              <w:t>0</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eastAsia="仿宋_GB2312"/>
                <w:color w:val="000000"/>
                <w:sz w:val="22"/>
                <w:szCs w:val="22"/>
              </w:rPr>
            </w:pPr>
            <w:r>
              <w:rPr>
                <w:rFonts w:eastAsia="仿宋_GB2312"/>
                <w:color w:val="000000"/>
                <w:sz w:val="22"/>
                <w:szCs w:val="22"/>
              </w:rPr>
              <w:t>规范性文件</w:t>
            </w:r>
          </w:p>
        </w:tc>
        <w:tc>
          <w:tcPr>
            <w:tcW w:w="1936"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ascii="Times New Roman" w:hAnsi="Times New Roman" w:eastAsia="仿宋_GB2312" w:cs="Times New Roman"/>
                <w:color w:val="000000"/>
                <w:sz w:val="22"/>
                <w:szCs w:val="22"/>
                <w:lang w:val="en-US" w:eastAsia="zh-CN" w:bidi="ar-SA"/>
              </w:rPr>
            </w:pPr>
            <w:r>
              <w:rPr>
                <w:rFonts w:eastAsia="仿宋_GB2312"/>
                <w:color w:val="000000"/>
                <w:sz w:val="22"/>
                <w:szCs w:val="22"/>
              </w:rPr>
              <w:t>　</w:t>
            </w:r>
            <w:r>
              <w:rPr>
                <w:rFonts w:hint="eastAsia" w:eastAsia="仿宋_GB2312"/>
                <w:color w:val="000000"/>
                <w:sz w:val="22"/>
                <w:szCs w:val="22"/>
                <w:lang w:val="en-US" w:eastAsia="zh-CN"/>
              </w:rPr>
              <w:t>0</w:t>
            </w:r>
          </w:p>
        </w:tc>
        <w:tc>
          <w:tcPr>
            <w:tcW w:w="1771"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300" w:lineRule="exact"/>
              <w:jc w:val="left"/>
              <w:rPr>
                <w:rFonts w:hint="eastAsia" w:ascii="Times New Roman" w:hAnsi="Times New Roman" w:eastAsia="仿宋_GB2312" w:cs="Times New Roman"/>
                <w:color w:val="000000"/>
                <w:sz w:val="22"/>
                <w:szCs w:val="22"/>
                <w:lang w:val="en-US" w:eastAsia="zh-CN" w:bidi="ar-SA"/>
              </w:rPr>
            </w:pPr>
            <w:r>
              <w:rPr>
                <w:rFonts w:eastAsia="仿宋_GB2312"/>
                <w:color w:val="000000"/>
                <w:sz w:val="22"/>
                <w:szCs w:val="22"/>
              </w:rPr>
              <w:t>　</w:t>
            </w:r>
            <w:r>
              <w:rPr>
                <w:rFonts w:hint="eastAsia" w:eastAsia="仿宋_GB2312"/>
                <w:color w:val="000000"/>
                <w:sz w:val="22"/>
                <w:szCs w:val="22"/>
                <w:lang w:val="en-US" w:eastAsia="zh-CN"/>
              </w:rPr>
              <w:t>0</w:t>
            </w:r>
          </w:p>
        </w:tc>
        <w:tc>
          <w:tcPr>
            <w:tcW w:w="1912"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ascii="Times New Roman" w:hAnsi="Times New Roman" w:eastAsia="仿宋_GB2312" w:cs="Times New Roman"/>
                <w:color w:val="000000"/>
                <w:sz w:val="22"/>
                <w:szCs w:val="22"/>
                <w:lang w:val="en-US" w:eastAsia="zh-CN" w:bidi="ar-SA"/>
              </w:rPr>
            </w:pPr>
            <w:r>
              <w:rPr>
                <w:rFonts w:eastAsia="仿宋_GB2312"/>
                <w:color w:val="000000"/>
                <w:sz w:val="22"/>
                <w:szCs w:val="22"/>
              </w:rPr>
              <w:t>　</w:t>
            </w:r>
            <w:r>
              <w:rPr>
                <w:rFonts w:hint="eastAsia" w:eastAsia="仿宋_GB2312"/>
                <w:color w:val="000000"/>
                <w:sz w:val="22"/>
                <w:szCs w:val="22"/>
                <w:lang w:val="en-US" w:eastAsia="zh-CN"/>
              </w:rPr>
              <w:t>0</w:t>
            </w:r>
          </w:p>
        </w:tc>
      </w:tr>
      <w:tr>
        <w:tblPrEx>
          <w:tblCellMar>
            <w:top w:w="15" w:type="dxa"/>
            <w:left w:w="15" w:type="dxa"/>
            <w:bottom w:w="15" w:type="dxa"/>
            <w:right w:w="15" w:type="dxa"/>
          </w:tblCellMar>
        </w:tblPrEx>
        <w:trPr>
          <w:trHeight w:val="510" w:hRule="atLeast"/>
          <w:jc w:val="center"/>
        </w:trPr>
        <w:tc>
          <w:tcPr>
            <w:tcW w:w="8868"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第二十条第（五）项</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信息内容</w:t>
            </w:r>
          </w:p>
        </w:tc>
        <w:tc>
          <w:tcPr>
            <w:tcW w:w="1936"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上一年项目数量</w:t>
            </w:r>
          </w:p>
        </w:tc>
        <w:tc>
          <w:tcPr>
            <w:tcW w:w="1771" w:type="dxa"/>
            <w:gridSpan w:val="2"/>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本年增/减</w:t>
            </w:r>
          </w:p>
        </w:tc>
        <w:tc>
          <w:tcPr>
            <w:tcW w:w="1912"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处理决定数量</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eastAsia="仿宋_GB2312"/>
                <w:color w:val="000000"/>
                <w:sz w:val="22"/>
                <w:szCs w:val="22"/>
              </w:rPr>
            </w:pPr>
            <w:r>
              <w:rPr>
                <w:rFonts w:eastAsia="仿宋_GB2312"/>
                <w:color w:val="000000"/>
                <w:sz w:val="22"/>
                <w:szCs w:val="22"/>
              </w:rPr>
              <w:t>行政许可</w:t>
            </w:r>
          </w:p>
        </w:tc>
        <w:tc>
          <w:tcPr>
            <w:tcW w:w="1936"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0</w:t>
            </w:r>
          </w:p>
        </w:tc>
        <w:tc>
          <w:tcPr>
            <w:tcW w:w="17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ind w:firstLine="220" w:firstLineChars="100"/>
              <w:jc w:val="left"/>
              <w:rPr>
                <w:rFonts w:hint="eastAsia" w:eastAsia="仿宋_GB2312"/>
                <w:color w:val="000000"/>
                <w:sz w:val="22"/>
                <w:szCs w:val="22"/>
                <w:lang w:val="en-US" w:eastAsia="zh-CN"/>
              </w:rPr>
            </w:pPr>
            <w:r>
              <w:rPr>
                <w:rFonts w:hint="eastAsia" w:eastAsia="仿宋_GB2312"/>
                <w:color w:val="000000"/>
                <w:sz w:val="22"/>
                <w:szCs w:val="22"/>
                <w:lang w:val="en-US" w:eastAsia="zh-CN"/>
              </w:rPr>
              <w:t>0</w:t>
            </w:r>
            <w:r>
              <w:rPr>
                <w:rFonts w:eastAsia="仿宋_GB2312"/>
                <w:color w:val="000000"/>
                <w:sz w:val="22"/>
                <w:szCs w:val="22"/>
              </w:rPr>
              <w:t>　</w:t>
            </w:r>
          </w:p>
        </w:tc>
        <w:tc>
          <w:tcPr>
            <w:tcW w:w="1918"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0</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eastAsia="仿宋_GB2312"/>
                <w:color w:val="000000"/>
                <w:sz w:val="22"/>
                <w:szCs w:val="22"/>
              </w:rPr>
            </w:pPr>
            <w:r>
              <w:rPr>
                <w:rFonts w:eastAsia="仿宋_GB2312"/>
                <w:color w:val="000000"/>
                <w:sz w:val="22"/>
                <w:szCs w:val="22"/>
              </w:rPr>
              <w:t>其他对外管理服务事项</w:t>
            </w:r>
          </w:p>
        </w:tc>
        <w:tc>
          <w:tcPr>
            <w:tcW w:w="1936"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0</w:t>
            </w:r>
          </w:p>
        </w:tc>
        <w:tc>
          <w:tcPr>
            <w:tcW w:w="17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0</w:t>
            </w:r>
          </w:p>
        </w:tc>
        <w:tc>
          <w:tcPr>
            <w:tcW w:w="1918"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0</w:t>
            </w:r>
          </w:p>
        </w:tc>
      </w:tr>
      <w:tr>
        <w:tblPrEx>
          <w:tblCellMar>
            <w:top w:w="15" w:type="dxa"/>
            <w:left w:w="15" w:type="dxa"/>
            <w:bottom w:w="15" w:type="dxa"/>
            <w:right w:w="15" w:type="dxa"/>
          </w:tblCellMar>
        </w:tblPrEx>
        <w:trPr>
          <w:trHeight w:val="510" w:hRule="atLeast"/>
          <w:jc w:val="center"/>
        </w:trPr>
        <w:tc>
          <w:tcPr>
            <w:tcW w:w="8868"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第二十条第（六）项</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信息内容</w:t>
            </w:r>
          </w:p>
        </w:tc>
        <w:tc>
          <w:tcPr>
            <w:tcW w:w="1936"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上一年项目数量</w:t>
            </w:r>
          </w:p>
        </w:tc>
        <w:tc>
          <w:tcPr>
            <w:tcW w:w="1771" w:type="dxa"/>
            <w:gridSpan w:val="2"/>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本年增/减</w:t>
            </w:r>
          </w:p>
        </w:tc>
        <w:tc>
          <w:tcPr>
            <w:tcW w:w="1912"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处理决定数量</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eastAsia="仿宋_GB2312"/>
                <w:color w:val="000000"/>
                <w:sz w:val="22"/>
                <w:szCs w:val="22"/>
              </w:rPr>
            </w:pPr>
            <w:r>
              <w:rPr>
                <w:rFonts w:eastAsia="仿宋_GB2312"/>
                <w:color w:val="000000"/>
                <w:sz w:val="22"/>
                <w:szCs w:val="22"/>
              </w:rPr>
              <w:t>行政处罚</w:t>
            </w:r>
          </w:p>
        </w:tc>
        <w:tc>
          <w:tcPr>
            <w:tcW w:w="1936"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default"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12</w:t>
            </w:r>
          </w:p>
        </w:tc>
        <w:tc>
          <w:tcPr>
            <w:tcW w:w="17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ind w:firstLine="220" w:firstLineChars="100"/>
              <w:jc w:val="left"/>
              <w:rPr>
                <w:rFonts w:eastAsia="仿宋_GB2312"/>
                <w:color w:val="000000"/>
                <w:sz w:val="22"/>
                <w:szCs w:val="22"/>
              </w:rPr>
            </w:pPr>
            <w:r>
              <w:rPr>
                <w:rFonts w:hint="eastAsia" w:eastAsia="仿宋_GB2312"/>
                <w:color w:val="000000"/>
                <w:sz w:val="22"/>
                <w:szCs w:val="22"/>
                <w:lang w:val="en-US" w:eastAsia="zh-CN"/>
              </w:rPr>
              <w:t>0</w:t>
            </w:r>
            <w:r>
              <w:rPr>
                <w:rFonts w:eastAsia="仿宋_GB2312"/>
                <w:color w:val="000000"/>
                <w:sz w:val="22"/>
                <w:szCs w:val="22"/>
              </w:rPr>
              <w:t>　</w:t>
            </w:r>
          </w:p>
        </w:tc>
        <w:tc>
          <w:tcPr>
            <w:tcW w:w="1918"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default"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28</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eastAsia="仿宋_GB2312"/>
                <w:color w:val="000000"/>
                <w:sz w:val="22"/>
                <w:szCs w:val="22"/>
              </w:rPr>
            </w:pPr>
            <w:r>
              <w:rPr>
                <w:rFonts w:eastAsia="仿宋_GB2312"/>
                <w:color w:val="000000"/>
                <w:sz w:val="22"/>
                <w:szCs w:val="22"/>
              </w:rPr>
              <w:t>行政强制</w:t>
            </w:r>
          </w:p>
        </w:tc>
        <w:tc>
          <w:tcPr>
            <w:tcW w:w="1936"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0</w:t>
            </w:r>
          </w:p>
        </w:tc>
        <w:tc>
          <w:tcPr>
            <w:tcW w:w="17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0</w:t>
            </w:r>
          </w:p>
        </w:tc>
        <w:tc>
          <w:tcPr>
            <w:tcW w:w="1918"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0</w:t>
            </w:r>
          </w:p>
        </w:tc>
      </w:tr>
      <w:tr>
        <w:tblPrEx>
          <w:tblCellMar>
            <w:top w:w="15" w:type="dxa"/>
            <w:left w:w="15" w:type="dxa"/>
            <w:bottom w:w="15" w:type="dxa"/>
            <w:right w:w="15" w:type="dxa"/>
          </w:tblCellMar>
        </w:tblPrEx>
        <w:trPr>
          <w:trHeight w:val="510" w:hRule="atLeast"/>
          <w:jc w:val="center"/>
        </w:trPr>
        <w:tc>
          <w:tcPr>
            <w:tcW w:w="8868"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第二十条第（八）项</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信息内容</w:t>
            </w:r>
          </w:p>
        </w:tc>
        <w:tc>
          <w:tcPr>
            <w:tcW w:w="1936"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eastAsia="仿宋_GB2312"/>
                <w:color w:val="000000"/>
                <w:sz w:val="22"/>
                <w:szCs w:val="22"/>
              </w:rPr>
            </w:pPr>
            <w:r>
              <w:rPr>
                <w:rFonts w:eastAsia="仿宋_GB2312"/>
                <w:color w:val="000000"/>
                <w:sz w:val="22"/>
                <w:szCs w:val="22"/>
              </w:rPr>
              <w:t>上一年项目数量</w:t>
            </w:r>
          </w:p>
        </w:tc>
        <w:tc>
          <w:tcPr>
            <w:tcW w:w="3683" w:type="dxa"/>
            <w:gridSpan w:val="3"/>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本年增/减</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eastAsia="仿宋_GB2312"/>
                <w:color w:val="000000"/>
                <w:sz w:val="22"/>
                <w:szCs w:val="22"/>
              </w:rPr>
            </w:pPr>
            <w:r>
              <w:rPr>
                <w:rFonts w:eastAsia="仿宋_GB2312"/>
                <w:color w:val="000000"/>
                <w:sz w:val="22"/>
                <w:szCs w:val="22"/>
              </w:rPr>
              <w:t>行政事业性收费</w:t>
            </w:r>
          </w:p>
        </w:tc>
        <w:tc>
          <w:tcPr>
            <w:tcW w:w="1936"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1</w:t>
            </w:r>
          </w:p>
        </w:tc>
        <w:tc>
          <w:tcPr>
            <w:tcW w:w="3683" w:type="dxa"/>
            <w:gridSpan w:val="3"/>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hint="eastAsia" w:eastAsia="仿宋_GB2312"/>
                <w:color w:val="000000"/>
                <w:sz w:val="22"/>
                <w:szCs w:val="22"/>
                <w:lang w:val="en-US" w:eastAsia="zh-CN"/>
              </w:rPr>
              <w:t>0</w:t>
            </w:r>
            <w:r>
              <w:rPr>
                <w:rFonts w:eastAsia="仿宋_GB2312"/>
                <w:color w:val="000000"/>
                <w:sz w:val="22"/>
                <w:szCs w:val="22"/>
              </w:rPr>
              <w:t> </w:t>
            </w:r>
          </w:p>
        </w:tc>
      </w:tr>
      <w:tr>
        <w:tblPrEx>
          <w:tblCellMar>
            <w:top w:w="15" w:type="dxa"/>
            <w:left w:w="15" w:type="dxa"/>
            <w:bottom w:w="15" w:type="dxa"/>
            <w:right w:w="15" w:type="dxa"/>
          </w:tblCellMar>
        </w:tblPrEx>
        <w:trPr>
          <w:trHeight w:val="510" w:hRule="atLeast"/>
          <w:jc w:val="center"/>
        </w:trPr>
        <w:tc>
          <w:tcPr>
            <w:tcW w:w="8868"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第二十条第（九）项</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信息内容</w:t>
            </w:r>
          </w:p>
        </w:tc>
        <w:tc>
          <w:tcPr>
            <w:tcW w:w="1936"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采购项目数量</w:t>
            </w:r>
          </w:p>
        </w:tc>
        <w:tc>
          <w:tcPr>
            <w:tcW w:w="3683" w:type="dxa"/>
            <w:gridSpan w:val="3"/>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采购总金额</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eastAsia="仿宋_GB2312"/>
                <w:color w:val="000000"/>
                <w:sz w:val="22"/>
                <w:szCs w:val="22"/>
              </w:rPr>
            </w:pPr>
            <w:r>
              <w:rPr>
                <w:rFonts w:eastAsia="仿宋_GB2312"/>
                <w:color w:val="000000"/>
                <w:sz w:val="22"/>
                <w:szCs w:val="22"/>
              </w:rPr>
              <w:t>政府集中采购</w:t>
            </w:r>
          </w:p>
        </w:tc>
        <w:tc>
          <w:tcPr>
            <w:tcW w:w="1936"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3</w:t>
            </w:r>
          </w:p>
        </w:tc>
        <w:tc>
          <w:tcPr>
            <w:tcW w:w="3683" w:type="dxa"/>
            <w:gridSpan w:val="3"/>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spacing w:line="300" w:lineRule="exact"/>
              <w:jc w:val="center"/>
              <w:rPr>
                <w:rFonts w:hint="default" w:eastAsia="仿宋_GB2312"/>
                <w:color w:val="000000"/>
                <w:sz w:val="22"/>
                <w:szCs w:val="22"/>
                <w:lang w:val="en-US" w:eastAsia="zh-CN"/>
              </w:rPr>
            </w:pPr>
            <w:r>
              <w:rPr>
                <w:rFonts w:hint="eastAsia" w:eastAsia="仿宋_GB2312"/>
                <w:color w:val="000000"/>
                <w:sz w:val="22"/>
                <w:szCs w:val="22"/>
                <w:lang w:val="en-US" w:eastAsia="zh-CN"/>
              </w:rPr>
              <w:t>30</w:t>
            </w:r>
          </w:p>
        </w:tc>
      </w:tr>
    </w:tbl>
    <w:p>
      <w:pPr>
        <w:overflowPunct w:val="0"/>
        <w:spacing w:line="600" w:lineRule="exact"/>
        <w:ind w:firstLine="640" w:firstLineChars="200"/>
        <w:rPr>
          <w:rFonts w:hint="eastAsia" w:eastAsia="黑体"/>
          <w:bCs/>
          <w:color w:val="000000"/>
          <w:sz w:val="32"/>
          <w:szCs w:val="32"/>
        </w:rPr>
      </w:pPr>
      <w:r>
        <w:rPr>
          <w:rFonts w:hint="eastAsia" w:eastAsia="黑体"/>
          <w:bCs/>
          <w:color w:val="000000"/>
          <w:sz w:val="32"/>
          <w:szCs w:val="32"/>
        </w:rPr>
        <w:t>三、收到和处理政府信息公开申请情况</w:t>
      </w:r>
    </w:p>
    <w:tbl>
      <w:tblPr>
        <w:tblStyle w:val="2"/>
        <w:tblW w:w="9071" w:type="dxa"/>
        <w:jc w:val="center"/>
        <w:tblLayout w:type="autofit"/>
        <w:tblCellMar>
          <w:top w:w="15" w:type="dxa"/>
          <w:left w:w="15" w:type="dxa"/>
          <w:bottom w:w="15" w:type="dxa"/>
          <w:right w:w="15" w:type="dxa"/>
        </w:tblCellMar>
      </w:tblPr>
      <w:tblGrid>
        <w:gridCol w:w="616"/>
        <w:gridCol w:w="853"/>
        <w:gridCol w:w="2081"/>
        <w:gridCol w:w="814"/>
        <w:gridCol w:w="756"/>
        <w:gridCol w:w="756"/>
        <w:gridCol w:w="814"/>
        <w:gridCol w:w="975"/>
        <w:gridCol w:w="712"/>
        <w:gridCol w:w="694"/>
      </w:tblGrid>
      <w:tr>
        <w:tblPrEx>
          <w:tblCellMar>
            <w:top w:w="15" w:type="dxa"/>
            <w:left w:w="15" w:type="dxa"/>
            <w:bottom w:w="15" w:type="dxa"/>
            <w:right w:w="15" w:type="dxa"/>
          </w:tblCellMar>
        </w:tblPrEx>
        <w:trPr>
          <w:trHeight w:val="397" w:hRule="atLeast"/>
          <w:jc w:val="center"/>
        </w:trPr>
        <w:tc>
          <w:tcPr>
            <w:tcW w:w="3550" w:type="dxa"/>
            <w:gridSpan w:val="3"/>
            <w:vMerge w:val="restart"/>
            <w:tcBorders>
              <w:top w:val="single" w:color="auto" w:sz="8" w:space="0"/>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（本列数据的勾稽关系为：第一项加第二项之和，等于第三项加第四项之和）</w:t>
            </w:r>
          </w:p>
        </w:tc>
        <w:tc>
          <w:tcPr>
            <w:tcW w:w="5521" w:type="dxa"/>
            <w:gridSpan w:val="7"/>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申请人情况</w:t>
            </w:r>
          </w:p>
        </w:tc>
      </w:tr>
      <w:tr>
        <w:tblPrEx>
          <w:tblCellMar>
            <w:top w:w="15" w:type="dxa"/>
            <w:left w:w="15" w:type="dxa"/>
            <w:bottom w:w="15" w:type="dxa"/>
            <w:right w:w="15" w:type="dxa"/>
          </w:tblCellMar>
        </w:tblPrEx>
        <w:trPr>
          <w:trHeight w:val="397" w:hRule="atLeast"/>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814"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自然人</w:t>
            </w:r>
          </w:p>
        </w:tc>
        <w:tc>
          <w:tcPr>
            <w:tcW w:w="4013" w:type="dxa"/>
            <w:gridSpan w:val="5"/>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法人或其他组织</w:t>
            </w:r>
          </w:p>
        </w:tc>
        <w:tc>
          <w:tcPr>
            <w:tcW w:w="694"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总计</w:t>
            </w:r>
          </w:p>
        </w:tc>
      </w:tr>
      <w:tr>
        <w:tblPrEx>
          <w:tblCellMar>
            <w:top w:w="15" w:type="dxa"/>
            <w:left w:w="15" w:type="dxa"/>
            <w:bottom w:w="15" w:type="dxa"/>
            <w:right w:w="15" w:type="dxa"/>
          </w:tblCellMar>
        </w:tblPrEx>
        <w:trPr>
          <w:trHeight w:val="397" w:hRule="atLeast"/>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40" w:lineRule="exact"/>
              <w:jc w:val="center"/>
              <w:rPr>
                <w:rFonts w:eastAsia="仿宋_GB2312"/>
                <w:color w:val="000000"/>
                <w:sz w:val="20"/>
              </w:rPr>
            </w:pPr>
            <w:r>
              <w:rPr>
                <w:rFonts w:eastAsia="仿宋_GB2312"/>
                <w:color w:val="000000"/>
                <w:sz w:val="20"/>
              </w:rPr>
              <w:t>商业企业</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40" w:lineRule="exact"/>
              <w:jc w:val="center"/>
              <w:rPr>
                <w:rFonts w:eastAsia="仿宋_GB2312"/>
                <w:color w:val="000000"/>
                <w:sz w:val="20"/>
              </w:rPr>
            </w:pPr>
            <w:r>
              <w:rPr>
                <w:rFonts w:eastAsia="仿宋_GB2312"/>
                <w:color w:val="000000"/>
                <w:sz w:val="20"/>
              </w:rPr>
              <w:t>科研机构</w:t>
            </w:r>
          </w:p>
        </w:tc>
        <w:tc>
          <w:tcPr>
            <w:tcW w:w="814"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40" w:lineRule="exact"/>
              <w:jc w:val="center"/>
              <w:rPr>
                <w:rFonts w:eastAsia="仿宋_GB2312"/>
                <w:color w:val="000000"/>
                <w:sz w:val="20"/>
              </w:rPr>
            </w:pPr>
            <w:r>
              <w:rPr>
                <w:rFonts w:eastAsia="仿宋_GB2312"/>
                <w:color w:val="000000"/>
                <w:sz w:val="20"/>
              </w:rPr>
              <w:t>社会公益组织</w:t>
            </w:r>
          </w:p>
        </w:tc>
        <w:tc>
          <w:tcPr>
            <w:tcW w:w="97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40" w:lineRule="exact"/>
              <w:jc w:val="center"/>
              <w:rPr>
                <w:rFonts w:eastAsia="仿宋_GB2312"/>
                <w:color w:val="000000"/>
                <w:sz w:val="20"/>
              </w:rPr>
            </w:pPr>
            <w:r>
              <w:rPr>
                <w:rFonts w:eastAsia="仿宋_GB2312"/>
                <w:color w:val="000000"/>
                <w:sz w:val="20"/>
              </w:rPr>
              <w:t>法律服务机构</w:t>
            </w:r>
          </w:p>
        </w:tc>
        <w:tc>
          <w:tcPr>
            <w:tcW w:w="712"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其他</w:t>
            </w: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spacing w:line="280" w:lineRule="exact"/>
              <w:jc w:val="left"/>
              <w:rPr>
                <w:rFonts w:eastAsia="仿宋_GB2312"/>
                <w:color w:val="000000"/>
                <w:sz w:val="20"/>
              </w:rPr>
            </w:pPr>
          </w:p>
        </w:tc>
      </w:tr>
      <w:tr>
        <w:tblPrEx>
          <w:tblCellMar>
            <w:top w:w="15" w:type="dxa"/>
            <w:left w:w="15" w:type="dxa"/>
            <w:bottom w:w="15" w:type="dxa"/>
            <w:right w:w="15" w:type="dxa"/>
          </w:tblCellMar>
        </w:tblPrEx>
        <w:trPr>
          <w:trHeight w:val="397" w:hRule="atLeast"/>
          <w:jc w:val="center"/>
        </w:trPr>
        <w:tc>
          <w:tcPr>
            <w:tcW w:w="3550" w:type="dxa"/>
            <w:gridSpan w:val="3"/>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一、本年新收政府信息公开申请数量</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hint="eastAsia" w:eastAsia="仿宋_GB2312"/>
                <w:color w:val="000000"/>
                <w:sz w:val="20"/>
                <w:lang w:val="en-US" w:eastAsia="zh-CN"/>
              </w:rPr>
              <w:t>4</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eastAsia="zh-CN"/>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97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1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4</w:t>
            </w:r>
          </w:p>
        </w:tc>
      </w:tr>
      <w:tr>
        <w:tblPrEx>
          <w:tblCellMar>
            <w:top w:w="15" w:type="dxa"/>
            <w:left w:w="15" w:type="dxa"/>
            <w:bottom w:w="15" w:type="dxa"/>
            <w:right w:w="15" w:type="dxa"/>
          </w:tblCellMar>
        </w:tblPrEx>
        <w:trPr>
          <w:trHeight w:val="397" w:hRule="atLeast"/>
          <w:jc w:val="center"/>
        </w:trPr>
        <w:tc>
          <w:tcPr>
            <w:tcW w:w="3550" w:type="dxa"/>
            <w:gridSpan w:val="3"/>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二、上年结转政府信息公开申请数量</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val="en-US" w:eastAsia="zh-CN"/>
              </w:rPr>
              <w:t>0</w:t>
            </w:r>
            <w:r>
              <w:rPr>
                <w:rFonts w:eastAsia="仿宋_GB2312"/>
                <w:color w:val="000000"/>
                <w:sz w:val="20"/>
              </w:rPr>
              <w:t> </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97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1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616" w:type="dxa"/>
            <w:vMerge w:val="restart"/>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三、本年度办理结果</w:t>
            </w:r>
          </w:p>
        </w:tc>
        <w:tc>
          <w:tcPr>
            <w:tcW w:w="2934"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（一）予以公开</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default" w:eastAsia="仿宋_GB2312"/>
                <w:color w:val="000000"/>
                <w:sz w:val="20"/>
                <w:lang w:val="en-US"/>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default" w:eastAsia="仿宋_GB2312"/>
                <w:color w:val="000000"/>
                <w:sz w:val="20"/>
                <w:lang w:val="en-US"/>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default" w:eastAsia="仿宋_GB2312"/>
                <w:color w:val="000000"/>
                <w:sz w:val="20"/>
                <w:lang w:val="en-US"/>
              </w:rPr>
            </w:pPr>
            <w:r>
              <w:rPr>
                <w:rFonts w:hint="eastAsia" w:eastAsia="仿宋_GB2312"/>
                <w:color w:val="000000"/>
                <w:sz w:val="20"/>
                <w:lang w:eastAsia="zh-CN"/>
              </w:rPr>
              <w:t>0</w:t>
            </w:r>
          </w:p>
        </w:tc>
        <w:tc>
          <w:tcPr>
            <w:tcW w:w="97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default" w:eastAsia="仿宋_GB2312"/>
                <w:color w:val="000000"/>
                <w:sz w:val="20"/>
                <w:lang w:val="en-US"/>
              </w:rPr>
            </w:pPr>
            <w:r>
              <w:rPr>
                <w:rFonts w:hint="eastAsia" w:eastAsia="仿宋_GB2312"/>
                <w:color w:val="000000"/>
                <w:sz w:val="20"/>
                <w:lang w:eastAsia="zh-CN"/>
              </w:rPr>
              <w:t>0</w:t>
            </w:r>
          </w:p>
        </w:tc>
        <w:tc>
          <w:tcPr>
            <w:tcW w:w="71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default" w:eastAsia="仿宋_GB2312"/>
                <w:color w:val="000000"/>
                <w:sz w:val="20"/>
                <w:lang w:val="en-US"/>
              </w:rPr>
            </w:pPr>
            <w:r>
              <w:rPr>
                <w:rFonts w:hint="eastAsia" w:eastAsia="仿宋_GB2312"/>
                <w:color w:val="000000"/>
                <w:sz w:val="20"/>
                <w:lang w:val="en-US" w:eastAsia="zh-CN"/>
              </w:rPr>
              <w:t>0</w:t>
            </w:r>
            <w:r>
              <w:rPr>
                <w:rFonts w:hint="default" w:eastAsia="仿宋_GB2312"/>
                <w:color w:val="000000"/>
                <w:sz w:val="20"/>
                <w:lang w:val="en-US"/>
              </w:rPr>
              <w:t> </w:t>
            </w:r>
          </w:p>
        </w:tc>
        <w:tc>
          <w:tcPr>
            <w:tcW w:w="694"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val="en-US" w:eastAsia="zh-CN"/>
              </w:rPr>
              <w:t>4</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934"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（二）部分公开（区分处理的，只计这一情形，不计其他情形）</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97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1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853"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（三）不予公开</w:t>
            </w:r>
          </w:p>
        </w:tc>
        <w:tc>
          <w:tcPr>
            <w:tcW w:w="208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97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1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694"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97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1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r>
              <w:rPr>
                <w:rFonts w:eastAsia="仿宋_GB2312"/>
                <w:color w:val="000000"/>
                <w:sz w:val="20"/>
              </w:rPr>
              <w:t> </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pacing w:val="-6"/>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97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1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val="en-US" w:eastAsia="zh-CN"/>
              </w:rPr>
              <w:t>0</w:t>
            </w:r>
            <w:r>
              <w:rPr>
                <w:rFonts w:eastAsia="仿宋_GB2312"/>
                <w:color w:val="000000"/>
                <w:sz w:val="20"/>
              </w:rPr>
              <w:t> </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pacing w:val="-6"/>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97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1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97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1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pacing w:val="-6"/>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97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1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97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1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97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1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853"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（四）无法提供</w:t>
            </w:r>
          </w:p>
        </w:tc>
        <w:tc>
          <w:tcPr>
            <w:tcW w:w="208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97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1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97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1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97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1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853"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（五）不予处理</w:t>
            </w:r>
          </w:p>
        </w:tc>
        <w:tc>
          <w:tcPr>
            <w:tcW w:w="208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pacing w:val="-6"/>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97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1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97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1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pacing w:val="-6"/>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97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1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97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1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pacing w:val="-6"/>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97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1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934"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（六）其他处理</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97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71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934"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（七）总计</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4</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val="en-US" w:eastAsia="zh-CN"/>
              </w:rPr>
              <w:t>0</w:t>
            </w:r>
            <w:r>
              <w:rPr>
                <w:rFonts w:eastAsia="仿宋_GB2312"/>
                <w:color w:val="000000"/>
                <w:sz w:val="20"/>
              </w:rPr>
              <w:t> </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val="en-US" w:eastAsia="zh-CN"/>
              </w:rPr>
              <w:t>0</w:t>
            </w:r>
            <w:r>
              <w:rPr>
                <w:rFonts w:eastAsia="仿宋_GB2312"/>
                <w:color w:val="000000"/>
                <w:sz w:val="20"/>
              </w:rPr>
              <w:t> </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c>
          <w:tcPr>
            <w:tcW w:w="97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c>
          <w:tcPr>
            <w:tcW w:w="71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val="en-US" w:eastAsia="zh-CN"/>
              </w:rPr>
              <w:t>0</w:t>
            </w:r>
            <w:r>
              <w:rPr>
                <w:rFonts w:eastAsia="仿宋_GB2312"/>
                <w:color w:val="000000"/>
                <w:sz w:val="20"/>
              </w:rPr>
              <w:t> </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4</w:t>
            </w:r>
          </w:p>
        </w:tc>
      </w:tr>
      <w:tr>
        <w:tblPrEx>
          <w:tblCellMar>
            <w:top w:w="15" w:type="dxa"/>
            <w:left w:w="15" w:type="dxa"/>
            <w:bottom w:w="15" w:type="dxa"/>
            <w:right w:w="15" w:type="dxa"/>
          </w:tblCellMar>
        </w:tblPrEx>
        <w:trPr>
          <w:trHeight w:val="397" w:hRule="atLeast"/>
          <w:jc w:val="center"/>
        </w:trPr>
        <w:tc>
          <w:tcPr>
            <w:tcW w:w="3550" w:type="dxa"/>
            <w:gridSpan w:val="3"/>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四、结转下年度继续办理</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c>
          <w:tcPr>
            <w:tcW w:w="75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c>
          <w:tcPr>
            <w:tcW w:w="97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c>
          <w:tcPr>
            <w:tcW w:w="712"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val="en-US" w:eastAsia="zh-CN"/>
              </w:rPr>
              <w:t>0</w:t>
            </w:r>
            <w:r>
              <w:rPr>
                <w:rFonts w:eastAsia="仿宋_GB2312"/>
                <w:color w:val="000000"/>
                <w:sz w:val="20"/>
              </w:rPr>
              <w:t> </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hint="default" w:eastAsia="仿宋_GB2312"/>
                <w:color w:val="000000"/>
                <w:sz w:val="20"/>
                <w:lang w:val="en-US" w:eastAsia="zh-CN"/>
              </w:rPr>
            </w:pPr>
            <w:r>
              <w:rPr>
                <w:rFonts w:hint="eastAsia" w:eastAsia="仿宋_GB2312"/>
                <w:color w:val="000000"/>
                <w:sz w:val="20"/>
                <w:lang w:val="en-US" w:eastAsia="zh-CN"/>
              </w:rPr>
              <w:t xml:space="preserve">  0</w:t>
            </w:r>
          </w:p>
        </w:tc>
      </w:tr>
    </w:tbl>
    <w:p>
      <w:pPr>
        <w:overflowPunct w:val="0"/>
        <w:spacing w:line="600" w:lineRule="exact"/>
        <w:ind w:firstLine="640" w:firstLineChars="200"/>
        <w:rPr>
          <w:rFonts w:hint="eastAsia" w:eastAsia="黑体"/>
          <w:bCs/>
          <w:color w:val="000000"/>
          <w:sz w:val="32"/>
          <w:szCs w:val="32"/>
        </w:rPr>
      </w:pPr>
      <w:r>
        <w:rPr>
          <w:rFonts w:hint="eastAsia" w:eastAsia="黑体"/>
          <w:bCs/>
          <w:color w:val="000000"/>
          <w:sz w:val="32"/>
          <w:szCs w:val="32"/>
        </w:rPr>
        <w:t>四、政府信息公开行政复议、行政诉讼情况</w:t>
      </w:r>
    </w:p>
    <w:tbl>
      <w:tblPr>
        <w:tblStyle w:val="2"/>
        <w:tblW w:w="9071" w:type="dxa"/>
        <w:jc w:val="center"/>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行政诉讼</w:t>
            </w:r>
          </w:p>
        </w:tc>
      </w:tr>
      <w:tr>
        <w:tblPrEx>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结果维持</w:t>
            </w:r>
          </w:p>
        </w:tc>
        <w:tc>
          <w:tcPr>
            <w:tcW w:w="604"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总计</w:t>
            </w:r>
          </w:p>
        </w:tc>
        <w:tc>
          <w:tcPr>
            <w:tcW w:w="2970" w:type="dxa"/>
            <w:gridSpan w:val="5"/>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复议后起诉</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sz w:val="24"/>
                <w:szCs w:val="24"/>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sz w:val="24"/>
                <w:szCs w:val="24"/>
              </w:rPr>
            </w:pPr>
          </w:p>
        </w:tc>
        <w:tc>
          <w:tcPr>
            <w:tcW w:w="55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结果维持</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结果纠正</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其他结果</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尚未审结</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总计</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结果维持</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结果纠正</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其他结果</w:t>
            </w:r>
          </w:p>
        </w:tc>
        <w:tc>
          <w:tcPr>
            <w:tcW w:w="606"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尚未审结</w:t>
            </w:r>
          </w:p>
        </w:tc>
        <w:tc>
          <w:tcPr>
            <w:tcW w:w="606"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总计</w:t>
            </w:r>
          </w:p>
        </w:tc>
      </w:tr>
      <w:tr>
        <w:tblPrEx>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sz w:val="24"/>
                <w:szCs w:val="24"/>
                <w:lang w:val="en-US" w:eastAsia="zh-CN"/>
              </w:rPr>
            </w:pPr>
            <w:r>
              <w:rPr>
                <w:rFonts w:cs="宋体"/>
                <w:color w:val="000000"/>
                <w:sz w:val="20"/>
              </w:rPr>
              <w:t> </w:t>
            </w:r>
            <w:r>
              <w:rPr>
                <w:rFonts w:hint="eastAsia" w:cs="宋体"/>
                <w:color w:val="000000"/>
                <w:sz w:val="20"/>
                <w:lang w:val="en-US" w:eastAsia="zh-CN"/>
              </w:rPr>
              <w:t>0</w:t>
            </w:r>
          </w:p>
        </w:tc>
        <w:tc>
          <w:tcPr>
            <w:tcW w:w="60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cs="宋体"/>
                <w:color w:val="000000"/>
                <w:sz w:val="20"/>
                <w:lang w:val="en-US" w:eastAsia="zh-CN"/>
              </w:rPr>
              <w:t>0</w:t>
            </w:r>
            <w:r>
              <w:rPr>
                <w:rFonts w:cs="宋体"/>
                <w:color w:val="000000"/>
                <w:sz w:val="20"/>
              </w:rPr>
              <w:t> </w:t>
            </w:r>
          </w:p>
        </w:tc>
        <w:tc>
          <w:tcPr>
            <w:tcW w:w="60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sz w:val="24"/>
                <w:szCs w:val="24"/>
                <w:lang w:val="en-US" w:eastAsia="zh-CN"/>
              </w:rPr>
            </w:pPr>
            <w:r>
              <w:rPr>
                <w:rFonts w:cs="宋体"/>
                <w:color w:val="000000"/>
                <w:sz w:val="20"/>
              </w:rPr>
              <w:t> </w:t>
            </w:r>
            <w:r>
              <w:rPr>
                <w:rFonts w:hint="eastAsia" w:cs="宋体"/>
                <w:color w:val="000000"/>
                <w:sz w:val="20"/>
                <w:lang w:val="en-US" w:eastAsia="zh-CN"/>
              </w:rPr>
              <w:t>0</w:t>
            </w:r>
          </w:p>
        </w:tc>
        <w:tc>
          <w:tcPr>
            <w:tcW w:w="60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sz w:val="24"/>
                <w:szCs w:val="24"/>
                <w:lang w:val="en-US" w:eastAsia="zh-CN"/>
              </w:rPr>
            </w:pPr>
            <w:r>
              <w:rPr>
                <w:rFonts w:cs="宋体"/>
                <w:color w:val="000000"/>
                <w:sz w:val="20"/>
              </w:rPr>
              <w:t> </w:t>
            </w:r>
            <w:r>
              <w:rPr>
                <w:rFonts w:hint="eastAsia" w:cs="宋体"/>
                <w:color w:val="000000"/>
                <w:sz w:val="20"/>
                <w:lang w:val="en-US" w:eastAsia="zh-CN"/>
              </w:rPr>
              <w:t>0</w:t>
            </w:r>
          </w:p>
        </w:tc>
        <w:tc>
          <w:tcPr>
            <w:tcW w:w="658"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cs="宋体"/>
                <w:color w:val="000000"/>
                <w:sz w:val="20"/>
                <w:lang w:val="en-US" w:eastAsia="zh-CN"/>
              </w:rPr>
              <w:t>0</w:t>
            </w:r>
            <w:r>
              <w:rPr>
                <w:rFonts w:cs="宋体"/>
                <w:color w:val="000000"/>
                <w:sz w:val="20"/>
              </w:rPr>
              <w:t> </w:t>
            </w:r>
          </w:p>
        </w:tc>
        <w:tc>
          <w:tcPr>
            <w:tcW w:w="55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sz w:val="24"/>
                <w:szCs w:val="24"/>
                <w:lang w:val="en-US" w:eastAsia="zh-CN"/>
              </w:rPr>
            </w:pPr>
            <w:r>
              <w:rPr>
                <w:rFonts w:hint="eastAsia" w:ascii="宋体" w:hAnsi="宋体" w:cs="宋体"/>
                <w:color w:val="000000"/>
                <w:sz w:val="20"/>
              </w:rPr>
              <w:t> </w:t>
            </w:r>
            <w:r>
              <w:rPr>
                <w:rFonts w:hint="eastAsia" w:ascii="宋体" w:hAnsi="宋体" w:cs="宋体"/>
                <w:color w:val="000000"/>
                <w:sz w:val="20"/>
                <w:lang w:val="en-US" w:eastAsia="zh-CN"/>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lang w:val="en-US" w:eastAsia="zh-CN"/>
              </w:rPr>
              <w:t>0</w:t>
            </w:r>
            <w:r>
              <w:rPr>
                <w:rFonts w:hint="eastAsia" w:ascii="宋体" w:hAnsi="宋体" w:cs="宋体"/>
                <w:color w:val="000000"/>
                <w:sz w:val="20"/>
              </w:rPr>
              <w:t> </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lang w:val="en-US" w:eastAsia="zh-CN"/>
              </w:rPr>
              <w:t>0</w:t>
            </w:r>
            <w:r>
              <w:rPr>
                <w:rFonts w:hint="eastAsia" w:ascii="宋体" w:hAnsi="宋体" w:cs="宋体"/>
                <w:color w:val="000000"/>
                <w:sz w:val="20"/>
              </w:rPr>
              <w:t> </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lang w:val="en-US" w:eastAsia="zh-CN"/>
              </w:rPr>
              <w:t>0</w:t>
            </w:r>
            <w:r>
              <w:rPr>
                <w:rFonts w:hint="eastAsia" w:ascii="宋体" w:hAnsi="宋体" w:cs="宋体"/>
                <w:color w:val="000000"/>
                <w:sz w:val="20"/>
              </w:rPr>
              <w:t> </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sz w:val="24"/>
                <w:szCs w:val="24"/>
                <w:lang w:val="en-US" w:eastAsia="zh-CN"/>
              </w:rPr>
            </w:pPr>
            <w:r>
              <w:rPr>
                <w:rFonts w:hint="eastAsia" w:ascii="宋体" w:hAnsi="宋体" w:cs="宋体"/>
                <w:color w:val="000000"/>
                <w:sz w:val="20"/>
              </w:rPr>
              <w:t> </w:t>
            </w:r>
            <w:r>
              <w:rPr>
                <w:rFonts w:hint="eastAsia" w:ascii="宋体" w:hAnsi="宋体" w:cs="宋体"/>
                <w:color w:val="000000"/>
                <w:sz w:val="20"/>
                <w:lang w:val="en-US" w:eastAsia="zh-CN"/>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sz w:val="24"/>
                <w:szCs w:val="24"/>
                <w:lang w:val="en-US" w:eastAsia="zh-CN"/>
              </w:rPr>
            </w:pPr>
            <w:r>
              <w:rPr>
                <w:rFonts w:hint="eastAsia" w:ascii="宋体" w:hAnsi="宋体" w:cs="宋体"/>
                <w:color w:val="000000"/>
                <w:sz w:val="20"/>
              </w:rPr>
              <w:t> </w:t>
            </w:r>
            <w:r>
              <w:rPr>
                <w:rFonts w:hint="eastAsia" w:ascii="宋体" w:hAnsi="宋体" w:cs="宋体"/>
                <w:color w:val="000000"/>
                <w:sz w:val="20"/>
                <w:lang w:val="en-US" w:eastAsia="zh-CN"/>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sz w:val="24"/>
                <w:szCs w:val="24"/>
                <w:lang w:val="en-US" w:eastAsia="zh-CN"/>
              </w:rPr>
            </w:pPr>
            <w:r>
              <w:rPr>
                <w:rFonts w:hint="eastAsia" w:ascii="宋体" w:hAnsi="宋体" w:cs="宋体"/>
                <w:color w:val="000000"/>
                <w:sz w:val="20"/>
              </w:rPr>
              <w:t> </w:t>
            </w:r>
            <w:r>
              <w:rPr>
                <w:rFonts w:hint="eastAsia" w:ascii="宋体" w:hAnsi="宋体" w:cs="宋体"/>
                <w:color w:val="000000"/>
                <w:sz w:val="20"/>
                <w:lang w:val="en-US" w:eastAsia="zh-CN"/>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sz w:val="24"/>
                <w:szCs w:val="24"/>
                <w:lang w:val="en-US" w:eastAsia="zh-CN"/>
              </w:rPr>
            </w:pPr>
            <w:r>
              <w:rPr>
                <w:rFonts w:hint="eastAsia" w:ascii="宋体" w:hAnsi="宋体" w:cs="宋体"/>
                <w:color w:val="000000"/>
                <w:sz w:val="20"/>
              </w:rPr>
              <w:t> </w:t>
            </w:r>
            <w:r>
              <w:rPr>
                <w:rFonts w:hint="eastAsia" w:ascii="宋体" w:hAnsi="宋体" w:cs="宋体"/>
                <w:color w:val="000000"/>
                <w:sz w:val="20"/>
                <w:lang w:val="en-US" w:eastAsia="zh-CN"/>
              </w:rPr>
              <w:t>0</w:t>
            </w:r>
          </w:p>
        </w:tc>
        <w:tc>
          <w:tcPr>
            <w:tcW w:w="60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sz w:val="24"/>
                <w:szCs w:val="24"/>
                <w:lang w:val="en-US" w:eastAsia="zh-CN"/>
              </w:rPr>
            </w:pPr>
            <w:r>
              <w:rPr>
                <w:rFonts w:hint="eastAsia" w:ascii="宋体" w:hAnsi="宋体" w:cs="宋体"/>
                <w:color w:val="000000"/>
                <w:sz w:val="20"/>
              </w:rPr>
              <w:t> </w:t>
            </w:r>
            <w:r>
              <w:rPr>
                <w:rFonts w:hint="eastAsia" w:ascii="宋体" w:hAnsi="宋体" w:cs="宋体"/>
                <w:color w:val="000000"/>
                <w:sz w:val="20"/>
                <w:lang w:val="en-US" w:eastAsia="zh-CN"/>
              </w:rPr>
              <w:t>0</w:t>
            </w:r>
          </w:p>
        </w:tc>
        <w:tc>
          <w:tcPr>
            <w:tcW w:w="60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bl>
    <w:p>
      <w:pPr>
        <w:overflowPunct w:val="0"/>
        <w:spacing w:line="600" w:lineRule="exact"/>
        <w:ind w:firstLine="640" w:firstLineChars="200"/>
        <w:rPr>
          <w:rFonts w:eastAsia="黑体"/>
          <w:bCs/>
          <w:color w:val="000000"/>
          <w:sz w:val="32"/>
          <w:szCs w:val="32"/>
        </w:rPr>
      </w:pPr>
      <w:r>
        <w:rPr>
          <w:rFonts w:hint="eastAsia" w:eastAsia="黑体"/>
          <w:bCs/>
          <w:color w:val="000000"/>
          <w:sz w:val="32"/>
          <w:szCs w:val="32"/>
        </w:rPr>
        <w:t>五、存在的主要问题及改进情况</w:t>
      </w:r>
    </w:p>
    <w:p>
      <w:pPr>
        <w:overflowPunct w:val="0"/>
        <w:spacing w:line="600" w:lineRule="exact"/>
        <w:ind w:firstLine="640" w:firstLineChars="200"/>
        <w:rPr>
          <w:rFonts w:hint="eastAsia" w:eastAsia="仿宋_GB2312"/>
          <w:color w:val="000000"/>
          <w:sz w:val="32"/>
          <w:szCs w:val="32"/>
        </w:rPr>
      </w:pPr>
      <w:r>
        <w:rPr>
          <w:rFonts w:hint="eastAsia" w:eastAsia="仿宋_GB2312"/>
          <w:color w:val="000000"/>
          <w:sz w:val="32"/>
          <w:szCs w:val="32"/>
          <w:lang w:val="en-US" w:eastAsia="zh-CN"/>
        </w:rPr>
        <w:t>2020年</w:t>
      </w:r>
      <w:r>
        <w:rPr>
          <w:rFonts w:hint="eastAsia" w:eastAsia="仿宋_GB2312"/>
          <w:color w:val="000000"/>
          <w:sz w:val="32"/>
          <w:szCs w:val="32"/>
        </w:rPr>
        <w:t>财政信息公开工作取得一定成效，但还存在</w:t>
      </w:r>
      <w:r>
        <w:rPr>
          <w:rFonts w:hint="eastAsia" w:eastAsia="仿宋_GB2312"/>
          <w:color w:val="000000"/>
          <w:sz w:val="32"/>
          <w:szCs w:val="32"/>
          <w:lang w:val="en-US" w:eastAsia="zh-CN"/>
        </w:rPr>
        <w:t>公开专栏有待完善、</w:t>
      </w:r>
      <w:r>
        <w:rPr>
          <w:rFonts w:hint="eastAsia" w:eastAsia="仿宋_GB2312"/>
          <w:color w:val="000000"/>
          <w:sz w:val="32"/>
          <w:szCs w:val="32"/>
        </w:rPr>
        <w:t>公开范围有待扩大、公开内容有待细化等问题。</w:t>
      </w:r>
      <w:r>
        <w:rPr>
          <w:rFonts w:hint="eastAsia" w:eastAsia="仿宋_GB2312"/>
          <w:color w:val="000000"/>
          <w:sz w:val="32"/>
          <w:szCs w:val="32"/>
          <w:lang w:val="en-US" w:eastAsia="zh-CN"/>
        </w:rPr>
        <w:t>2021</w:t>
      </w:r>
      <w:r>
        <w:rPr>
          <w:rFonts w:hint="eastAsia" w:eastAsia="仿宋_GB2312"/>
          <w:color w:val="000000"/>
          <w:sz w:val="32"/>
          <w:szCs w:val="32"/>
        </w:rPr>
        <w:t>年，宜春市财政局</w:t>
      </w:r>
      <w:r>
        <w:rPr>
          <w:rFonts w:hint="eastAsia" w:eastAsia="仿宋_GB2312"/>
          <w:color w:val="000000"/>
          <w:sz w:val="32"/>
          <w:szCs w:val="32"/>
          <w:lang w:val="en-US" w:eastAsia="zh-CN"/>
        </w:rPr>
        <w:t>一是</w:t>
      </w:r>
      <w:r>
        <w:rPr>
          <w:rFonts w:hint="eastAsia" w:eastAsia="仿宋_GB2312"/>
          <w:color w:val="000000"/>
          <w:sz w:val="32"/>
          <w:szCs w:val="32"/>
        </w:rPr>
        <w:t>认真贯彻落实《中华人民共和国政府信息公开条例》</w:t>
      </w:r>
      <w:r>
        <w:rPr>
          <w:rFonts w:hint="eastAsia" w:eastAsia="仿宋_GB2312"/>
          <w:color w:val="000000"/>
          <w:sz w:val="32"/>
          <w:szCs w:val="32"/>
          <w:lang w:val="en-US" w:eastAsia="zh-CN"/>
        </w:rPr>
        <w:t>要求</w:t>
      </w:r>
      <w:r>
        <w:rPr>
          <w:rFonts w:hint="eastAsia" w:eastAsia="仿宋_GB2312"/>
          <w:color w:val="000000"/>
          <w:sz w:val="32"/>
          <w:szCs w:val="32"/>
        </w:rPr>
        <w:t>，坚持以公开为常态、不公开为例外，不断提高政府信息公开工作人员的思想认识和业务工作能力。</w:t>
      </w:r>
      <w:r>
        <w:rPr>
          <w:rFonts w:hint="eastAsia" w:eastAsia="仿宋_GB2312"/>
          <w:color w:val="000000"/>
          <w:sz w:val="32"/>
          <w:szCs w:val="32"/>
          <w:lang w:val="en-US" w:eastAsia="zh-CN"/>
        </w:rPr>
        <w:t>二是根据文件要求和工作实际，不断完善信息公开专栏设置，</w:t>
      </w:r>
      <w:r>
        <w:rPr>
          <w:rFonts w:hint="eastAsia" w:eastAsia="仿宋_GB2312"/>
          <w:color w:val="000000"/>
          <w:sz w:val="32"/>
          <w:szCs w:val="32"/>
        </w:rPr>
        <w:t>不断扩大财政信息公开的范围，加强财政信息发布和政策解读</w:t>
      </w:r>
      <w:r>
        <w:rPr>
          <w:rFonts w:hint="eastAsia" w:eastAsia="仿宋_GB2312"/>
          <w:color w:val="000000"/>
          <w:sz w:val="32"/>
          <w:szCs w:val="32"/>
          <w:lang w:eastAsia="zh-CN"/>
        </w:rPr>
        <w:t>。</w:t>
      </w:r>
      <w:r>
        <w:rPr>
          <w:rFonts w:hint="eastAsia" w:eastAsia="仿宋_GB2312"/>
          <w:color w:val="000000"/>
          <w:sz w:val="32"/>
          <w:szCs w:val="32"/>
          <w:lang w:val="en-US" w:eastAsia="zh-CN"/>
        </w:rPr>
        <w:t>三是强化</w:t>
      </w:r>
      <w:r>
        <w:rPr>
          <w:rFonts w:hint="eastAsia" w:eastAsia="仿宋_GB2312"/>
          <w:color w:val="000000"/>
          <w:sz w:val="32"/>
          <w:szCs w:val="32"/>
        </w:rPr>
        <w:t>预决算公开。</w:t>
      </w:r>
      <w:r>
        <w:rPr>
          <w:rFonts w:hint="eastAsia" w:eastAsia="仿宋_GB2312"/>
          <w:color w:val="000000"/>
          <w:sz w:val="32"/>
          <w:szCs w:val="32"/>
          <w:lang w:val="en-US" w:eastAsia="zh-CN"/>
        </w:rPr>
        <w:t>指导各县（市、区）和市直各部门按规范做到预决算公开“三个统一”</w:t>
      </w:r>
      <w:r>
        <w:rPr>
          <w:rFonts w:hint="eastAsia" w:eastAsia="仿宋_GB2312"/>
          <w:color w:val="000000"/>
          <w:sz w:val="32"/>
          <w:szCs w:val="32"/>
        </w:rPr>
        <w:t>。</w:t>
      </w:r>
    </w:p>
    <w:p>
      <w:pPr>
        <w:overflowPunct w:val="0"/>
        <w:spacing w:line="600" w:lineRule="exact"/>
        <w:ind w:firstLine="640" w:firstLineChars="200"/>
        <w:rPr>
          <w:rFonts w:hint="eastAsia" w:eastAsia="黑体"/>
          <w:bCs/>
          <w:color w:val="000000"/>
          <w:sz w:val="32"/>
          <w:szCs w:val="32"/>
        </w:rPr>
      </w:pPr>
      <w:r>
        <w:rPr>
          <w:rFonts w:hint="eastAsia" w:eastAsia="黑体"/>
          <w:bCs/>
          <w:color w:val="000000"/>
          <w:sz w:val="32"/>
          <w:szCs w:val="32"/>
        </w:rPr>
        <w:t>六、其他需要报告的事项</w:t>
      </w:r>
    </w:p>
    <w:p>
      <w:pPr>
        <w:ind w:firstLine="640" w:firstLineChars="200"/>
      </w:pPr>
      <w:bookmarkStart w:id="0" w:name="_GoBack"/>
      <w:bookmarkEnd w:id="0"/>
      <w:r>
        <w:rPr>
          <w:rFonts w:hint="eastAsia" w:eastAsia="仿宋_GB2312"/>
          <w:color w:val="000000"/>
          <w:sz w:val="32"/>
          <w:szCs w:val="32"/>
          <w:lang w:val="en-US" w:eastAsia="zh-CN"/>
        </w:rPr>
        <w:t>2020年度，本机关无收取信息处理费情况。</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lYmI1MTAxODE5ZWUyMjQ0ZmJhZmUzZGQ0NWZhZGEifQ=="/>
  </w:docVars>
  <w:rsids>
    <w:rsidRoot w:val="33543010"/>
    <w:rsid w:val="001960B2"/>
    <w:rsid w:val="100C2E50"/>
    <w:rsid w:val="1D0A57A3"/>
    <w:rsid w:val="1EB8547B"/>
    <w:rsid w:val="1F9D59BF"/>
    <w:rsid w:val="2A9F6FD0"/>
    <w:rsid w:val="2CD50876"/>
    <w:rsid w:val="2E3E1C6E"/>
    <w:rsid w:val="304064BC"/>
    <w:rsid w:val="33543010"/>
    <w:rsid w:val="3DC82477"/>
    <w:rsid w:val="3DED319F"/>
    <w:rsid w:val="4D8E3527"/>
    <w:rsid w:val="4E2873B8"/>
    <w:rsid w:val="513E3D31"/>
    <w:rsid w:val="5D957BC3"/>
    <w:rsid w:val="5F540235"/>
    <w:rsid w:val="631E3D2B"/>
    <w:rsid w:val="6B6E5640"/>
    <w:rsid w:val="7AA87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2513</Words>
  <Characters>2605</Characters>
  <Lines>0</Lines>
  <Paragraphs>0</Paragraphs>
  <TotalTime>4</TotalTime>
  <ScaleCrop>false</ScaleCrop>
  <LinksUpToDate>false</LinksUpToDate>
  <CharactersWithSpaces>2675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2020-01-20T07:20:00Z</dcterms:created>
  <dc:creator>零落烟灰</dc:creator>
  <cp:lastModifiedBy>梁超</cp:lastModifiedBy>
  <cp:lastPrinted>2021-01-20T07:20:00Z</cp:lastPrinted>
  <dcterms:modified xsi:type="dcterms:W3CDTF">2023-01-12T07:10:48Z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D392663967494C65AC28022B7E479703</vt:lpwstr>
  </property>
</Properties>
</file>